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BC3AFC" w:rsidRDefault="00B83471" w:rsidP="00D219C6">
      <w:pPr>
        <w:pStyle w:val="Heading1"/>
        <w:rPr>
          <w:lang w:val="en-GB"/>
        </w:rPr>
      </w:pPr>
      <w:r w:rsidRPr="00BC3AFC">
        <w:rPr>
          <w:lang w:val="en-GB"/>
        </w:rPr>
        <w:t>Aim</w:t>
      </w:r>
      <w:r w:rsidR="00270F24" w:rsidRPr="00BC3AFC">
        <w:rPr>
          <w:lang w:val="en-GB"/>
        </w:rPr>
        <w:t>s</w:t>
      </w:r>
    </w:p>
    <w:p w:rsidR="00270F24" w:rsidRPr="00BC3AFC" w:rsidRDefault="00270F24" w:rsidP="00270F24">
      <w:pPr>
        <w:rPr>
          <w:lang w:val="en-GB"/>
        </w:rPr>
      </w:pPr>
      <w:r w:rsidRPr="00BC3AFC">
        <w:rPr>
          <w:lang w:val="en-GB"/>
        </w:rPr>
        <w:t>To describe the repertoire of tests available in the AHC-COMRU microbiology laboratory.</w:t>
      </w:r>
    </w:p>
    <w:p w:rsidR="00270F24" w:rsidRPr="00BC3AFC" w:rsidRDefault="00270F24" w:rsidP="00270F24">
      <w:pPr>
        <w:rPr>
          <w:lang w:val="en-GB"/>
        </w:rPr>
      </w:pPr>
      <w:r w:rsidRPr="00BC3AFC">
        <w:rPr>
          <w:lang w:val="en-GB"/>
        </w:rPr>
        <w:t xml:space="preserve">To assist clinical staff </w:t>
      </w:r>
      <w:r w:rsidR="00B24C6F" w:rsidRPr="00BC3AFC">
        <w:rPr>
          <w:lang w:val="en-GB"/>
        </w:rPr>
        <w:t xml:space="preserve">in </w:t>
      </w:r>
      <w:r w:rsidRPr="00BC3AFC">
        <w:rPr>
          <w:lang w:val="en-GB"/>
        </w:rPr>
        <w:t>select</w:t>
      </w:r>
      <w:r w:rsidR="00B24C6F" w:rsidRPr="00BC3AFC">
        <w:rPr>
          <w:lang w:val="en-GB"/>
        </w:rPr>
        <w:t>ing</w:t>
      </w:r>
      <w:r w:rsidRPr="00BC3AFC">
        <w:rPr>
          <w:lang w:val="en-GB"/>
        </w:rPr>
        <w:t xml:space="preserve"> the correct microbiology </w:t>
      </w:r>
      <w:bookmarkStart w:id="0" w:name="_GoBack"/>
      <w:bookmarkEnd w:id="0"/>
      <w:r w:rsidRPr="00BC3AFC">
        <w:rPr>
          <w:lang w:val="en-GB"/>
        </w:rPr>
        <w:t>test and c</w:t>
      </w:r>
      <w:r w:rsidR="00B24C6F" w:rsidRPr="00BC3AFC">
        <w:rPr>
          <w:lang w:val="en-GB"/>
        </w:rPr>
        <w:t>ollecting</w:t>
      </w:r>
      <w:r w:rsidRPr="00BC3AFC">
        <w:rPr>
          <w:lang w:val="en-GB"/>
        </w:rPr>
        <w:t xml:space="preserve"> appropriate </w:t>
      </w:r>
      <w:r w:rsidR="00B24C6F" w:rsidRPr="00BC3AFC">
        <w:rPr>
          <w:lang w:val="en-GB"/>
        </w:rPr>
        <w:t xml:space="preserve">high quality </w:t>
      </w:r>
      <w:r w:rsidR="00525FA9" w:rsidRPr="00BC3AFC">
        <w:rPr>
          <w:lang w:val="en-GB"/>
        </w:rPr>
        <w:t>specimen(s):</w:t>
      </w:r>
    </w:p>
    <w:p w:rsidR="00270F24" w:rsidRPr="00BC3AFC" w:rsidRDefault="00270F24" w:rsidP="00525FA9">
      <w:pPr>
        <w:pStyle w:val="ListParagraph"/>
        <w:numPr>
          <w:ilvl w:val="0"/>
          <w:numId w:val="12"/>
        </w:numPr>
        <w:rPr>
          <w:lang w:val="en-GB"/>
        </w:rPr>
      </w:pPr>
      <w:r w:rsidRPr="00BC3AFC">
        <w:rPr>
          <w:lang w:val="en-GB"/>
        </w:rPr>
        <w:t>To minimise the number of clinically unhelpful results generated by the laboratory.</w:t>
      </w:r>
    </w:p>
    <w:p w:rsidR="00ED2499" w:rsidRPr="00BC3AFC" w:rsidRDefault="00ED2499" w:rsidP="00525FA9">
      <w:pPr>
        <w:pStyle w:val="ListParagraph"/>
        <w:numPr>
          <w:ilvl w:val="0"/>
          <w:numId w:val="12"/>
        </w:numPr>
        <w:rPr>
          <w:lang w:val="en-GB"/>
        </w:rPr>
      </w:pPr>
      <w:r w:rsidRPr="00BC3AFC">
        <w:rPr>
          <w:lang w:val="en-GB"/>
        </w:rPr>
        <w:t>To enhance the efficiency and cost-effectiveness of the laboratory.</w:t>
      </w:r>
    </w:p>
    <w:p w:rsidR="00BF4A7B" w:rsidRPr="00BC3AFC" w:rsidRDefault="00B83471" w:rsidP="00BF4A7B">
      <w:pPr>
        <w:pStyle w:val="Heading1"/>
        <w:rPr>
          <w:lang w:val="en-GB"/>
        </w:rPr>
      </w:pPr>
      <w:r w:rsidRPr="00BC3AFC">
        <w:rPr>
          <w:lang w:val="en-GB"/>
        </w:rPr>
        <w:t>Principle</w:t>
      </w:r>
    </w:p>
    <w:p w:rsidR="003D46BB" w:rsidRPr="00BC3AFC" w:rsidRDefault="00270F24" w:rsidP="00BF4A7B">
      <w:pPr>
        <w:rPr>
          <w:lang w:val="en-GB"/>
        </w:rPr>
      </w:pPr>
      <w:r w:rsidRPr="00BC3AFC">
        <w:rPr>
          <w:lang w:val="en-GB"/>
        </w:rPr>
        <w:t>To ensure the bes</w:t>
      </w:r>
      <w:r w:rsidR="00BF2756" w:rsidRPr="00BC3AFC">
        <w:rPr>
          <w:lang w:val="en-GB"/>
        </w:rPr>
        <w:t>t use of the laboratory</w:t>
      </w:r>
      <w:r w:rsidRPr="00BC3AFC">
        <w:rPr>
          <w:lang w:val="en-GB"/>
        </w:rPr>
        <w:t xml:space="preserve">, </w:t>
      </w:r>
      <w:r w:rsidR="00B24C6F" w:rsidRPr="00BC3AFC">
        <w:rPr>
          <w:lang w:val="en-GB"/>
        </w:rPr>
        <w:t>clinical staff should</w:t>
      </w:r>
      <w:r w:rsidRPr="00BC3AFC">
        <w:rPr>
          <w:lang w:val="en-GB"/>
        </w:rPr>
        <w:t xml:space="preserve"> select the correct test and collect an appropriate sample for given clinical problem.</w:t>
      </w:r>
    </w:p>
    <w:p w:rsidR="00BF2756" w:rsidRPr="00BC3AFC" w:rsidRDefault="00270F24" w:rsidP="00BF4A7B">
      <w:pPr>
        <w:rPr>
          <w:lang w:val="en-GB"/>
        </w:rPr>
      </w:pPr>
      <w:r w:rsidRPr="00BC3AFC">
        <w:rPr>
          <w:lang w:val="en-GB"/>
        </w:rPr>
        <w:t xml:space="preserve">Submission of poor quality specimens with inadequate clinical information often generates laboratory results which do not inform </w:t>
      </w:r>
      <w:r w:rsidR="003D46BB" w:rsidRPr="00BC3AFC">
        <w:rPr>
          <w:lang w:val="en-GB"/>
        </w:rPr>
        <w:t>patient management.</w:t>
      </w:r>
      <w:r w:rsidR="00BF2756" w:rsidRPr="00BC3AFC">
        <w:rPr>
          <w:lang w:val="en-GB"/>
        </w:rPr>
        <w:t xml:space="preserve"> Submission of such specimens also places strain on limited laboratory resources.</w:t>
      </w:r>
    </w:p>
    <w:p w:rsidR="003D46BB" w:rsidRPr="00BC3AFC" w:rsidRDefault="003D46BB" w:rsidP="00BF4A7B">
      <w:pPr>
        <w:rPr>
          <w:lang w:val="en-GB"/>
        </w:rPr>
      </w:pPr>
      <w:r w:rsidRPr="00BC3AFC">
        <w:rPr>
          <w:lang w:val="en-GB"/>
        </w:rPr>
        <w:t>Inclusion of a suspected diagnosis or relevant history/examination findings always helps the laboratory staff process specimens in the best way. Absence</w:t>
      </w:r>
      <w:r w:rsidR="00347433" w:rsidRPr="00BC3AFC">
        <w:rPr>
          <w:lang w:val="en-GB"/>
        </w:rPr>
        <w:t xml:space="preserve"> of clinical information on the </w:t>
      </w:r>
      <w:r w:rsidRPr="00BC3AFC">
        <w:rPr>
          <w:lang w:val="en-GB"/>
        </w:rPr>
        <w:t xml:space="preserve">specimen request form may result in certain culture results being </w:t>
      </w:r>
      <w:r w:rsidR="00827443" w:rsidRPr="00BC3AFC">
        <w:rPr>
          <w:lang w:val="en-GB"/>
        </w:rPr>
        <w:t xml:space="preserve">incorrectly </w:t>
      </w:r>
      <w:r w:rsidR="00347433" w:rsidRPr="00BC3AFC">
        <w:rPr>
          <w:lang w:val="en-GB"/>
        </w:rPr>
        <w:t xml:space="preserve">labelled as “No </w:t>
      </w:r>
      <w:r w:rsidRPr="00BC3AFC">
        <w:rPr>
          <w:lang w:val="en-GB"/>
        </w:rPr>
        <w:t>significant growth”.</w:t>
      </w:r>
    </w:p>
    <w:p w:rsidR="00BF2756" w:rsidRPr="00BC3AFC" w:rsidRDefault="00061D4D" w:rsidP="00061D4D">
      <w:pPr>
        <w:rPr>
          <w:lang w:val="en-GB"/>
        </w:rPr>
        <w:sectPr w:rsidR="00BF2756" w:rsidRPr="00BC3AFC" w:rsidSect="006C64AF">
          <w:headerReference w:type="default" r:id="rId8"/>
          <w:footerReference w:type="default" r:id="rId9"/>
          <w:pgSz w:w="12240" w:h="15840"/>
          <w:pgMar w:top="1440" w:right="1800" w:bottom="1440" w:left="1800" w:header="708" w:footer="708" w:gutter="0"/>
          <w:cols w:space="708"/>
          <w:docGrid w:linePitch="326"/>
        </w:sectPr>
      </w:pPr>
      <w:r>
        <w:rPr>
          <w:lang w:val="en-GB"/>
        </w:rPr>
        <w:t>Specimen collection should be done only by trained staff, using appropriate personal protective equipment (gloves +/- mask, gown, and googles depending on the patient, specimen and suspected diagnosis). An aseptic / “no-touch” technique should be used to minimise specimen contamination.</w:t>
      </w:r>
    </w:p>
    <w:p w:rsidR="00BF4A7B" w:rsidRDefault="00BF2756" w:rsidP="00BF4A7B">
      <w:pPr>
        <w:pStyle w:val="Heading1"/>
        <w:rPr>
          <w:lang w:val="en-GB"/>
        </w:rPr>
      </w:pPr>
      <w:r w:rsidRPr="00BC3AFC">
        <w:rPr>
          <w:lang w:val="en-GB"/>
        </w:rPr>
        <w:lastRenderedPageBreak/>
        <w:t>Specimen repertoire</w:t>
      </w:r>
    </w:p>
    <w:p w:rsidR="00BC3AFC" w:rsidRPr="00BC3AFC" w:rsidRDefault="00BC3AFC" w:rsidP="00BC3AFC">
      <w:pPr>
        <w:rPr>
          <w:lang w:val="en-GB"/>
        </w:rPr>
      </w:pPr>
      <w:r w:rsidRPr="00BC3AFC">
        <w:rPr>
          <w:b/>
          <w:lang w:val="en-GB"/>
        </w:rPr>
        <w:t>Note:</w:t>
      </w:r>
      <w:r>
        <w:rPr>
          <w:lang w:val="en-GB"/>
        </w:rPr>
        <w:t xml:space="preserve"> requirements for unusual specimens not included on this list should be discussed with the microbiology laboratory staff before collection to avoid problems in processing or interpretation.</w:t>
      </w:r>
    </w:p>
    <w:tbl>
      <w:tblPr>
        <w:tblStyle w:val="TableGrid"/>
        <w:tblW w:w="0" w:type="auto"/>
        <w:tblLook w:val="04A0" w:firstRow="1" w:lastRow="0" w:firstColumn="1" w:lastColumn="0" w:noHBand="0" w:noVBand="1"/>
      </w:tblPr>
      <w:tblGrid>
        <w:gridCol w:w="2235"/>
        <w:gridCol w:w="3669"/>
        <w:gridCol w:w="2952"/>
      </w:tblGrid>
      <w:tr w:rsidR="00BF2756" w:rsidRPr="00BC3AFC" w:rsidTr="002A425E">
        <w:trPr>
          <w:tblHeader/>
        </w:trPr>
        <w:tc>
          <w:tcPr>
            <w:tcW w:w="2235" w:type="dxa"/>
            <w:shd w:val="clear" w:color="auto" w:fill="BFBFBF" w:themeFill="background1" w:themeFillShade="BF"/>
          </w:tcPr>
          <w:p w:rsidR="00BF2756" w:rsidRPr="00BC3AFC" w:rsidRDefault="00BF2756" w:rsidP="00827443">
            <w:pPr>
              <w:spacing w:line="240" w:lineRule="auto"/>
              <w:rPr>
                <w:b/>
                <w:lang w:val="en-GB"/>
              </w:rPr>
            </w:pPr>
            <w:r w:rsidRPr="00BC3AFC">
              <w:rPr>
                <w:b/>
                <w:lang w:val="en-GB"/>
              </w:rPr>
              <w:t>Specimen type</w:t>
            </w:r>
          </w:p>
        </w:tc>
        <w:tc>
          <w:tcPr>
            <w:tcW w:w="3669" w:type="dxa"/>
            <w:shd w:val="clear" w:color="auto" w:fill="BFBFBF" w:themeFill="background1" w:themeFillShade="BF"/>
          </w:tcPr>
          <w:p w:rsidR="00BF2756" w:rsidRPr="00BC3AFC" w:rsidRDefault="00BF2756" w:rsidP="00827443">
            <w:pPr>
              <w:spacing w:line="240" w:lineRule="auto"/>
              <w:rPr>
                <w:b/>
                <w:lang w:val="en-GB"/>
              </w:rPr>
            </w:pPr>
            <w:r w:rsidRPr="00BC3AFC">
              <w:rPr>
                <w:b/>
                <w:lang w:val="en-GB"/>
              </w:rPr>
              <w:t>Laboratory process</w:t>
            </w:r>
          </w:p>
        </w:tc>
        <w:tc>
          <w:tcPr>
            <w:tcW w:w="2952" w:type="dxa"/>
            <w:shd w:val="clear" w:color="auto" w:fill="BFBFBF" w:themeFill="background1" w:themeFillShade="BF"/>
          </w:tcPr>
          <w:p w:rsidR="00BF2756" w:rsidRPr="00BC3AFC" w:rsidRDefault="00BF2756" w:rsidP="00827443">
            <w:pPr>
              <w:spacing w:line="240" w:lineRule="auto"/>
              <w:rPr>
                <w:b/>
                <w:lang w:val="en-GB"/>
              </w:rPr>
            </w:pPr>
            <w:r w:rsidRPr="00BC3AFC">
              <w:rPr>
                <w:b/>
                <w:lang w:val="en-GB"/>
              </w:rPr>
              <w:t>Comments</w:t>
            </w:r>
          </w:p>
        </w:tc>
      </w:tr>
      <w:tr w:rsidR="000D6538" w:rsidRPr="00BC3AFC" w:rsidTr="005D19FC">
        <w:tc>
          <w:tcPr>
            <w:tcW w:w="8856" w:type="dxa"/>
            <w:gridSpan w:val="3"/>
            <w:shd w:val="clear" w:color="auto" w:fill="FFFFFF" w:themeFill="background1"/>
            <w:vAlign w:val="center"/>
          </w:tcPr>
          <w:p w:rsidR="0062751B" w:rsidRPr="00042B56" w:rsidRDefault="000D6538" w:rsidP="00827443">
            <w:pPr>
              <w:spacing w:line="240" w:lineRule="auto"/>
              <w:jc w:val="left"/>
              <w:rPr>
                <w:b/>
                <w:lang w:val="en-GB"/>
              </w:rPr>
            </w:pPr>
            <w:r w:rsidRPr="00BC3AFC">
              <w:rPr>
                <w:b/>
                <w:lang w:val="en-GB"/>
              </w:rPr>
              <w:t>Sterile site specimens: any growth potentially significant</w:t>
            </w:r>
            <w:r w:rsidR="00D11B26">
              <w:rPr>
                <w:b/>
                <w:lang w:val="en-GB"/>
              </w:rPr>
              <w:t>*</w:t>
            </w:r>
          </w:p>
        </w:tc>
      </w:tr>
      <w:tr w:rsidR="00BF2756" w:rsidRPr="00BC3AFC" w:rsidTr="006C2C3A">
        <w:tc>
          <w:tcPr>
            <w:tcW w:w="2235" w:type="dxa"/>
          </w:tcPr>
          <w:p w:rsidR="00BF2756" w:rsidRPr="00BC3AFC" w:rsidRDefault="00BF2756" w:rsidP="00827443">
            <w:pPr>
              <w:spacing w:line="240" w:lineRule="auto"/>
              <w:jc w:val="left"/>
              <w:rPr>
                <w:lang w:val="en-GB"/>
              </w:rPr>
            </w:pPr>
            <w:r w:rsidRPr="00BC3AFC">
              <w:rPr>
                <w:lang w:val="en-GB"/>
              </w:rPr>
              <w:t>Blood</w:t>
            </w:r>
          </w:p>
        </w:tc>
        <w:tc>
          <w:tcPr>
            <w:tcW w:w="3669" w:type="dxa"/>
          </w:tcPr>
          <w:p w:rsidR="00BF2756" w:rsidRPr="00BC3AFC" w:rsidRDefault="00BF2756" w:rsidP="00827443">
            <w:pPr>
              <w:spacing w:line="240" w:lineRule="auto"/>
              <w:jc w:val="left"/>
              <w:rPr>
                <w:lang w:val="en-GB"/>
              </w:rPr>
            </w:pPr>
            <w:r w:rsidRPr="00BC3AFC">
              <w:rPr>
                <w:lang w:val="en-GB"/>
              </w:rPr>
              <w:t>Culture for 7 days</w:t>
            </w:r>
          </w:p>
          <w:p w:rsidR="00BF2756" w:rsidRPr="00BC3AFC" w:rsidRDefault="00BF2756" w:rsidP="00827443">
            <w:pPr>
              <w:spacing w:line="240" w:lineRule="auto"/>
              <w:jc w:val="left"/>
              <w:rPr>
                <w:lang w:val="en-GB"/>
              </w:rPr>
            </w:pPr>
            <w:r w:rsidRPr="00BC3AFC">
              <w:rPr>
                <w:lang w:val="en-GB"/>
              </w:rPr>
              <w:t>Daily inspection</w:t>
            </w:r>
          </w:p>
          <w:p w:rsidR="00BF2756" w:rsidRPr="00BC3AFC" w:rsidRDefault="00BF2756" w:rsidP="00827443">
            <w:pPr>
              <w:spacing w:line="240" w:lineRule="auto"/>
              <w:jc w:val="left"/>
              <w:rPr>
                <w:lang w:val="en-GB"/>
              </w:rPr>
            </w:pPr>
            <w:r w:rsidRPr="00BC3AFC">
              <w:rPr>
                <w:lang w:val="en-GB"/>
              </w:rPr>
              <w:t>Manual sub-culture on day</w:t>
            </w:r>
            <w:r w:rsidR="00827443" w:rsidRPr="00BC3AFC">
              <w:rPr>
                <w:lang w:val="en-GB"/>
              </w:rPr>
              <w:t>s</w:t>
            </w:r>
            <w:r w:rsidRPr="00BC3AFC">
              <w:rPr>
                <w:lang w:val="en-GB"/>
              </w:rPr>
              <w:t xml:space="preserve"> 1 &amp; 7</w:t>
            </w:r>
          </w:p>
        </w:tc>
        <w:tc>
          <w:tcPr>
            <w:tcW w:w="2952" w:type="dxa"/>
          </w:tcPr>
          <w:p w:rsidR="00BF2756" w:rsidRPr="00BC3AFC" w:rsidRDefault="00347433" w:rsidP="00347433">
            <w:pPr>
              <w:spacing w:line="240" w:lineRule="auto"/>
              <w:jc w:val="left"/>
              <w:rPr>
                <w:lang w:val="en-GB"/>
              </w:rPr>
            </w:pPr>
            <w:r w:rsidRPr="00BC3AFC">
              <w:rPr>
                <w:b/>
                <w:i/>
                <w:lang w:val="en-GB"/>
              </w:rPr>
              <w:t xml:space="preserve">The </w:t>
            </w:r>
            <w:r w:rsidR="00BF2756" w:rsidRPr="00BC3AFC">
              <w:rPr>
                <w:b/>
                <w:i/>
                <w:lang w:val="en-GB"/>
              </w:rPr>
              <w:t>volume of</w:t>
            </w:r>
            <w:r w:rsidR="002A425E" w:rsidRPr="00BC3AFC">
              <w:rPr>
                <w:b/>
                <w:i/>
                <w:lang w:val="en-GB"/>
              </w:rPr>
              <w:t xml:space="preserve"> blood cultured is importan</w:t>
            </w:r>
            <w:r w:rsidRPr="00BC3AFC">
              <w:rPr>
                <w:b/>
                <w:i/>
                <w:lang w:val="en-GB"/>
              </w:rPr>
              <w:t>t:</w:t>
            </w:r>
            <w:r w:rsidRPr="00BC3AFC">
              <w:rPr>
                <w:lang w:val="en-GB"/>
              </w:rPr>
              <w:t xml:space="preserve"> always send &gt;</w:t>
            </w:r>
            <w:r w:rsidR="00BF2756" w:rsidRPr="00BC3AFC">
              <w:rPr>
                <w:lang w:val="en-GB"/>
              </w:rPr>
              <w:t>1ml</w:t>
            </w:r>
          </w:p>
        </w:tc>
      </w:tr>
      <w:tr w:rsidR="00BF2756" w:rsidRPr="00BC3AFC" w:rsidTr="006C2C3A">
        <w:tc>
          <w:tcPr>
            <w:tcW w:w="2235" w:type="dxa"/>
          </w:tcPr>
          <w:p w:rsidR="00BF2756" w:rsidRPr="00BC3AFC" w:rsidRDefault="00BF2756" w:rsidP="00827443">
            <w:pPr>
              <w:spacing w:line="240" w:lineRule="auto"/>
              <w:jc w:val="left"/>
              <w:rPr>
                <w:lang w:val="en-GB"/>
              </w:rPr>
            </w:pPr>
            <w:r w:rsidRPr="00BC3AFC">
              <w:rPr>
                <w:lang w:val="en-GB"/>
              </w:rPr>
              <w:t>C</w:t>
            </w:r>
            <w:r w:rsidR="003C084B" w:rsidRPr="00BC3AFC">
              <w:rPr>
                <w:lang w:val="en-GB"/>
              </w:rPr>
              <w:t>erebrospinal fluid (C</w:t>
            </w:r>
            <w:r w:rsidRPr="00BC3AFC">
              <w:rPr>
                <w:lang w:val="en-GB"/>
              </w:rPr>
              <w:t>SF</w:t>
            </w:r>
            <w:r w:rsidR="003C084B" w:rsidRPr="00BC3AFC">
              <w:rPr>
                <w:lang w:val="en-GB"/>
              </w:rPr>
              <w:t>)</w:t>
            </w:r>
          </w:p>
        </w:tc>
        <w:tc>
          <w:tcPr>
            <w:tcW w:w="3669" w:type="dxa"/>
          </w:tcPr>
          <w:p w:rsidR="00E452E4" w:rsidRPr="00BC3AFC" w:rsidRDefault="00E452E4" w:rsidP="00827443">
            <w:pPr>
              <w:spacing w:line="240" w:lineRule="auto"/>
              <w:jc w:val="left"/>
              <w:rPr>
                <w:lang w:val="en-GB"/>
              </w:rPr>
            </w:pPr>
            <w:r w:rsidRPr="00BC3AFC">
              <w:rPr>
                <w:lang w:val="en-GB"/>
              </w:rPr>
              <w:t>Cell count</w:t>
            </w:r>
          </w:p>
          <w:p w:rsidR="00BF2756" w:rsidRPr="00BC3AFC" w:rsidRDefault="00BF2756" w:rsidP="00827443">
            <w:pPr>
              <w:spacing w:line="240" w:lineRule="auto"/>
              <w:jc w:val="left"/>
              <w:rPr>
                <w:lang w:val="en-GB"/>
              </w:rPr>
            </w:pPr>
            <w:r w:rsidRPr="00BC3AFC">
              <w:rPr>
                <w:lang w:val="en-GB"/>
              </w:rPr>
              <w:t>Gram stain</w:t>
            </w:r>
          </w:p>
          <w:p w:rsidR="00BF2756" w:rsidRPr="00BC3AFC" w:rsidRDefault="00BF2756" w:rsidP="00827443">
            <w:pPr>
              <w:spacing w:line="240" w:lineRule="auto"/>
              <w:jc w:val="left"/>
              <w:rPr>
                <w:lang w:val="en-GB"/>
              </w:rPr>
            </w:pPr>
            <w:r w:rsidRPr="00BC3AFC">
              <w:rPr>
                <w:lang w:val="en-GB"/>
              </w:rPr>
              <w:t>Culture for 48 hours</w:t>
            </w:r>
          </w:p>
          <w:p w:rsidR="00BF2756" w:rsidRPr="00BC3AFC" w:rsidRDefault="00BF2756" w:rsidP="00827443">
            <w:pPr>
              <w:spacing w:line="240" w:lineRule="auto"/>
              <w:jc w:val="left"/>
              <w:rPr>
                <w:b/>
                <w:i/>
                <w:lang w:val="en-GB"/>
              </w:rPr>
            </w:pPr>
            <w:r w:rsidRPr="00BC3AFC">
              <w:rPr>
                <w:lang w:val="en-GB"/>
              </w:rPr>
              <w:t xml:space="preserve">ZN </w:t>
            </w:r>
            <w:r w:rsidR="002E53F1" w:rsidRPr="00BC3AFC">
              <w:rPr>
                <w:lang w:val="en-GB"/>
              </w:rPr>
              <w:t xml:space="preserve">stain </w:t>
            </w:r>
            <w:r w:rsidR="00074184" w:rsidRPr="00BC3AFC">
              <w:rPr>
                <w:lang w:val="en-GB"/>
              </w:rPr>
              <w:t>&amp;</w:t>
            </w:r>
            <w:r w:rsidRPr="00BC3AFC">
              <w:rPr>
                <w:lang w:val="en-GB"/>
              </w:rPr>
              <w:t xml:space="preserve"> </w:t>
            </w:r>
            <w:r w:rsidR="006C2C3A" w:rsidRPr="00BC3AFC">
              <w:rPr>
                <w:lang w:val="en-GB"/>
              </w:rPr>
              <w:t xml:space="preserve">TB </w:t>
            </w:r>
            <w:r w:rsidRPr="00BC3AFC">
              <w:rPr>
                <w:lang w:val="en-GB"/>
              </w:rPr>
              <w:t xml:space="preserve">GeneXpert </w:t>
            </w:r>
            <w:r w:rsidRPr="00BC3AFC">
              <w:rPr>
                <w:b/>
                <w:i/>
                <w:lang w:val="en-GB"/>
              </w:rPr>
              <w:t>if requested</w:t>
            </w:r>
          </w:p>
          <w:p w:rsidR="00421116" w:rsidRPr="00BC3AFC" w:rsidRDefault="00421116" w:rsidP="00827443">
            <w:pPr>
              <w:spacing w:line="240" w:lineRule="auto"/>
              <w:jc w:val="left"/>
              <w:rPr>
                <w:lang w:val="en-GB"/>
              </w:rPr>
            </w:pPr>
            <w:r w:rsidRPr="00BC3AFC">
              <w:rPr>
                <w:lang w:val="en-GB"/>
              </w:rPr>
              <w:t xml:space="preserve">India ink stain </w:t>
            </w:r>
            <w:r w:rsidRPr="00BC3AFC">
              <w:rPr>
                <w:b/>
                <w:i/>
                <w:lang w:val="en-GB"/>
              </w:rPr>
              <w:t>if requested</w:t>
            </w:r>
          </w:p>
        </w:tc>
        <w:tc>
          <w:tcPr>
            <w:tcW w:w="2952" w:type="dxa"/>
          </w:tcPr>
          <w:p w:rsidR="00BF2756" w:rsidRPr="00BC3AFC" w:rsidRDefault="00BF2756" w:rsidP="00827443">
            <w:pPr>
              <w:spacing w:line="240" w:lineRule="auto"/>
              <w:jc w:val="left"/>
              <w:rPr>
                <w:lang w:val="en-GB"/>
              </w:rPr>
            </w:pPr>
            <w:r w:rsidRPr="00BC3AFC">
              <w:rPr>
                <w:lang w:val="en-GB"/>
              </w:rPr>
              <w:t>If TB is suspected a large volume of CSF is required (see below)</w:t>
            </w:r>
            <w:r w:rsidR="00347433" w:rsidRPr="00BC3AFC">
              <w:rPr>
                <w:lang w:val="en-GB"/>
              </w:rPr>
              <w:t xml:space="preserve">: </w:t>
            </w:r>
            <w:r w:rsidR="00347433" w:rsidRPr="00BC3AFC">
              <w:rPr>
                <w:b/>
                <w:i/>
                <w:lang w:val="en-GB"/>
              </w:rPr>
              <w:t>TB investigation should not be requested routinely on all specimens</w:t>
            </w:r>
          </w:p>
        </w:tc>
      </w:tr>
      <w:tr w:rsidR="007B2D41" w:rsidRPr="00BC3AFC" w:rsidTr="006C2C3A">
        <w:tc>
          <w:tcPr>
            <w:tcW w:w="2235" w:type="dxa"/>
          </w:tcPr>
          <w:p w:rsidR="007B2D41" w:rsidRPr="00BC3AFC" w:rsidRDefault="007B2D41" w:rsidP="00827443">
            <w:pPr>
              <w:spacing w:line="240" w:lineRule="auto"/>
              <w:jc w:val="left"/>
              <w:rPr>
                <w:lang w:val="en-GB"/>
              </w:rPr>
            </w:pPr>
            <w:r w:rsidRPr="00BC3AFC">
              <w:rPr>
                <w:lang w:val="en-GB"/>
              </w:rPr>
              <w:t>Joint fluid and other normally sterile body fluids</w:t>
            </w:r>
          </w:p>
        </w:tc>
        <w:tc>
          <w:tcPr>
            <w:tcW w:w="3669" w:type="dxa"/>
          </w:tcPr>
          <w:p w:rsidR="007B2D41" w:rsidRPr="00BC3AFC" w:rsidRDefault="007B2D41" w:rsidP="00827443">
            <w:pPr>
              <w:spacing w:line="240" w:lineRule="auto"/>
              <w:jc w:val="left"/>
              <w:rPr>
                <w:lang w:val="en-GB"/>
              </w:rPr>
            </w:pPr>
            <w:r w:rsidRPr="00BC3AFC">
              <w:rPr>
                <w:lang w:val="en-GB"/>
              </w:rPr>
              <w:t>Cell count</w:t>
            </w:r>
          </w:p>
          <w:p w:rsidR="007B2D41" w:rsidRPr="00BC3AFC" w:rsidRDefault="007B2D41" w:rsidP="00827443">
            <w:pPr>
              <w:spacing w:line="240" w:lineRule="auto"/>
              <w:jc w:val="left"/>
              <w:rPr>
                <w:lang w:val="en-GB"/>
              </w:rPr>
            </w:pPr>
            <w:r w:rsidRPr="00BC3AFC">
              <w:rPr>
                <w:lang w:val="en-GB"/>
              </w:rPr>
              <w:t>Gram stain</w:t>
            </w:r>
          </w:p>
          <w:p w:rsidR="007B2D41" w:rsidRPr="00BC3AFC" w:rsidRDefault="007B2D41" w:rsidP="00827443">
            <w:pPr>
              <w:spacing w:line="240" w:lineRule="auto"/>
              <w:jc w:val="left"/>
              <w:rPr>
                <w:lang w:val="en-GB"/>
              </w:rPr>
            </w:pPr>
            <w:r w:rsidRPr="00BC3AFC">
              <w:rPr>
                <w:lang w:val="en-GB"/>
              </w:rPr>
              <w:t>Culture for 48 hours</w:t>
            </w:r>
          </w:p>
          <w:p w:rsidR="007B2D41" w:rsidRPr="00BC3AFC" w:rsidRDefault="007B2D41" w:rsidP="00827443">
            <w:pPr>
              <w:spacing w:line="240" w:lineRule="auto"/>
              <w:jc w:val="left"/>
              <w:rPr>
                <w:lang w:val="en-GB"/>
              </w:rPr>
            </w:pPr>
            <w:r w:rsidRPr="00BC3AFC">
              <w:rPr>
                <w:lang w:val="en-GB"/>
              </w:rPr>
              <w:t xml:space="preserve">ZN stain &amp; TB GeneXpert </w:t>
            </w:r>
            <w:r w:rsidRPr="00BC3AFC">
              <w:rPr>
                <w:b/>
                <w:i/>
                <w:lang w:val="en-GB"/>
              </w:rPr>
              <w:t>if requested</w:t>
            </w:r>
          </w:p>
          <w:p w:rsidR="007B2D41" w:rsidRPr="00BC3AFC" w:rsidRDefault="007B2D41" w:rsidP="00827443">
            <w:pPr>
              <w:spacing w:line="240" w:lineRule="auto"/>
              <w:jc w:val="left"/>
              <w:rPr>
                <w:b/>
                <w:i/>
                <w:lang w:val="en-GB"/>
              </w:rPr>
            </w:pPr>
            <w:r w:rsidRPr="00BC3AFC">
              <w:rPr>
                <w:lang w:val="en-GB"/>
              </w:rPr>
              <w:t xml:space="preserve">Melioid culture </w:t>
            </w:r>
            <w:r w:rsidRPr="00BC3AFC">
              <w:rPr>
                <w:b/>
                <w:i/>
                <w:lang w:val="en-GB"/>
              </w:rPr>
              <w:t>if requested</w:t>
            </w:r>
          </w:p>
        </w:tc>
        <w:tc>
          <w:tcPr>
            <w:tcW w:w="2952" w:type="dxa"/>
          </w:tcPr>
          <w:p w:rsidR="007B2D41" w:rsidRPr="00BC3AFC" w:rsidRDefault="007B2D41" w:rsidP="00827443">
            <w:pPr>
              <w:spacing w:line="240" w:lineRule="auto"/>
              <w:jc w:val="left"/>
              <w:rPr>
                <w:lang w:val="en-GB"/>
              </w:rPr>
            </w:pPr>
          </w:p>
        </w:tc>
      </w:tr>
      <w:tr w:rsidR="00BF2756" w:rsidRPr="00BC3AFC" w:rsidTr="006C2C3A">
        <w:tc>
          <w:tcPr>
            <w:tcW w:w="2235" w:type="dxa"/>
          </w:tcPr>
          <w:p w:rsidR="00BF2756" w:rsidRPr="00BC3AFC" w:rsidRDefault="00BF2756" w:rsidP="00827443">
            <w:pPr>
              <w:spacing w:line="240" w:lineRule="auto"/>
              <w:jc w:val="left"/>
              <w:rPr>
                <w:lang w:val="en-GB"/>
              </w:rPr>
            </w:pPr>
            <w:r w:rsidRPr="00BC3AFC">
              <w:rPr>
                <w:lang w:val="en-GB"/>
              </w:rPr>
              <w:t>Pus</w:t>
            </w:r>
          </w:p>
        </w:tc>
        <w:tc>
          <w:tcPr>
            <w:tcW w:w="3669" w:type="dxa"/>
          </w:tcPr>
          <w:p w:rsidR="002E53F1" w:rsidRPr="00BC3AFC" w:rsidRDefault="002E53F1" w:rsidP="00827443">
            <w:pPr>
              <w:spacing w:line="240" w:lineRule="auto"/>
              <w:jc w:val="left"/>
              <w:rPr>
                <w:lang w:val="en-GB"/>
              </w:rPr>
            </w:pPr>
            <w:r w:rsidRPr="00BC3AFC">
              <w:rPr>
                <w:lang w:val="en-GB"/>
              </w:rPr>
              <w:t>Gram stain</w:t>
            </w:r>
          </w:p>
          <w:p w:rsidR="00BF2756" w:rsidRPr="00BC3AFC" w:rsidRDefault="00BF2756" w:rsidP="00827443">
            <w:pPr>
              <w:spacing w:line="240" w:lineRule="auto"/>
              <w:jc w:val="left"/>
              <w:rPr>
                <w:lang w:val="en-GB"/>
              </w:rPr>
            </w:pPr>
            <w:r w:rsidRPr="00BC3AFC">
              <w:rPr>
                <w:lang w:val="en-GB"/>
              </w:rPr>
              <w:t>Culture</w:t>
            </w:r>
            <w:r w:rsidR="002E53F1" w:rsidRPr="00BC3AFC">
              <w:rPr>
                <w:lang w:val="en-GB"/>
              </w:rPr>
              <w:t xml:space="preserve"> for 48 hours</w:t>
            </w:r>
          </w:p>
          <w:p w:rsidR="002E53F1" w:rsidRPr="00BC3AFC" w:rsidRDefault="00074184" w:rsidP="00827443">
            <w:pPr>
              <w:spacing w:line="240" w:lineRule="auto"/>
              <w:jc w:val="left"/>
              <w:rPr>
                <w:b/>
                <w:i/>
                <w:lang w:val="en-GB"/>
              </w:rPr>
            </w:pPr>
            <w:r w:rsidRPr="00BC3AFC">
              <w:rPr>
                <w:lang w:val="en-GB"/>
              </w:rPr>
              <w:t>ZN</w:t>
            </w:r>
            <w:r w:rsidR="002E53F1" w:rsidRPr="00BC3AFC">
              <w:rPr>
                <w:lang w:val="en-GB"/>
              </w:rPr>
              <w:t xml:space="preserve"> stain</w:t>
            </w:r>
            <w:r w:rsidR="002E53F1" w:rsidRPr="00BC3AFC">
              <w:rPr>
                <w:b/>
                <w:i/>
                <w:lang w:val="en-GB"/>
              </w:rPr>
              <w:t xml:space="preserve"> </w:t>
            </w:r>
            <w:r w:rsidRPr="00BC3AFC">
              <w:rPr>
                <w:lang w:val="en-GB"/>
              </w:rPr>
              <w:t xml:space="preserve">/ wet prep </w:t>
            </w:r>
            <w:r w:rsidR="002E53F1" w:rsidRPr="00BC3AFC">
              <w:rPr>
                <w:b/>
                <w:i/>
                <w:lang w:val="en-GB"/>
              </w:rPr>
              <w:t>if requested</w:t>
            </w:r>
          </w:p>
          <w:p w:rsidR="001950BE" w:rsidRPr="00BC3AFC" w:rsidRDefault="001950BE" w:rsidP="00827443">
            <w:pPr>
              <w:spacing w:line="240" w:lineRule="auto"/>
              <w:jc w:val="left"/>
              <w:rPr>
                <w:b/>
                <w:i/>
                <w:lang w:val="en-GB"/>
              </w:rPr>
            </w:pPr>
            <w:r w:rsidRPr="00BC3AFC">
              <w:rPr>
                <w:lang w:val="en-GB"/>
              </w:rPr>
              <w:t xml:space="preserve">Melioid culture </w:t>
            </w:r>
            <w:r w:rsidRPr="00BC3AFC">
              <w:rPr>
                <w:b/>
                <w:i/>
                <w:lang w:val="en-GB"/>
              </w:rPr>
              <w:t>if requested</w:t>
            </w:r>
          </w:p>
        </w:tc>
        <w:tc>
          <w:tcPr>
            <w:tcW w:w="2952" w:type="dxa"/>
          </w:tcPr>
          <w:p w:rsidR="00BF2756" w:rsidRPr="00BC3AFC" w:rsidRDefault="002E53F1" w:rsidP="00827443">
            <w:pPr>
              <w:spacing w:line="240" w:lineRule="auto"/>
              <w:jc w:val="left"/>
              <w:rPr>
                <w:lang w:val="en-GB"/>
              </w:rPr>
            </w:pPr>
            <w:r w:rsidRPr="00BC3AFC">
              <w:rPr>
                <w:lang w:val="en-GB"/>
              </w:rPr>
              <w:t xml:space="preserve">Pus sent in a sterile container is </w:t>
            </w:r>
            <w:r w:rsidRPr="00BC3AFC">
              <w:rPr>
                <w:b/>
                <w:i/>
                <w:lang w:val="en-GB"/>
              </w:rPr>
              <w:t>always</w:t>
            </w:r>
            <w:r w:rsidRPr="00BC3AFC">
              <w:rPr>
                <w:lang w:val="en-GB"/>
              </w:rPr>
              <w:t xml:space="preserve"> preferred to a swab</w:t>
            </w:r>
          </w:p>
        </w:tc>
      </w:tr>
    </w:tbl>
    <w:p w:rsidR="00042B56" w:rsidRDefault="00D11B26" w:rsidP="00BF2756">
      <w:pPr>
        <w:rPr>
          <w:lang w:val="en-GB"/>
        </w:rPr>
      </w:pPr>
      <w:r>
        <w:rPr>
          <w:i/>
          <w:lang w:val="en-GB"/>
        </w:rPr>
        <w:t>*</w:t>
      </w:r>
      <w:r w:rsidR="00042B56">
        <w:rPr>
          <w:i/>
          <w:lang w:val="en-GB"/>
        </w:rPr>
        <w:t>Collect all specimens before start of antimicrobial treatment if possible</w:t>
      </w:r>
    </w:p>
    <w:p w:rsidR="00042B56" w:rsidRDefault="00042B56" w:rsidP="00042B56">
      <w:pPr>
        <w:rPr>
          <w:lang w:val="en-GB"/>
        </w:rPr>
      </w:pPr>
      <w:r>
        <w:rPr>
          <w:lang w:val="en-GB"/>
        </w:rPr>
        <w:br w:type="page"/>
      </w:r>
    </w:p>
    <w:tbl>
      <w:tblPr>
        <w:tblStyle w:val="TableGrid"/>
        <w:tblW w:w="8925" w:type="dxa"/>
        <w:tblLook w:val="04A0" w:firstRow="1" w:lastRow="0" w:firstColumn="1" w:lastColumn="0" w:noHBand="0" w:noVBand="1"/>
      </w:tblPr>
      <w:tblGrid>
        <w:gridCol w:w="2235"/>
        <w:gridCol w:w="3669"/>
        <w:gridCol w:w="3021"/>
      </w:tblGrid>
      <w:tr w:rsidR="00042B56" w:rsidRPr="0062751B" w:rsidTr="00D35CED">
        <w:trPr>
          <w:tblHeader/>
        </w:trPr>
        <w:tc>
          <w:tcPr>
            <w:tcW w:w="2235" w:type="dxa"/>
            <w:shd w:val="clear" w:color="auto" w:fill="BFBFBF" w:themeFill="background1" w:themeFillShade="BF"/>
          </w:tcPr>
          <w:p w:rsidR="00042B56" w:rsidRPr="00BC3AFC" w:rsidRDefault="00042B56" w:rsidP="00C85442">
            <w:pPr>
              <w:spacing w:line="240" w:lineRule="auto"/>
              <w:rPr>
                <w:b/>
                <w:lang w:val="en-GB"/>
              </w:rPr>
            </w:pPr>
            <w:r w:rsidRPr="00BC3AFC">
              <w:rPr>
                <w:b/>
                <w:lang w:val="en-GB"/>
              </w:rPr>
              <w:lastRenderedPageBreak/>
              <w:t>Specimen type</w:t>
            </w:r>
          </w:p>
        </w:tc>
        <w:tc>
          <w:tcPr>
            <w:tcW w:w="3669" w:type="dxa"/>
            <w:shd w:val="clear" w:color="auto" w:fill="BFBFBF" w:themeFill="background1" w:themeFillShade="BF"/>
          </w:tcPr>
          <w:p w:rsidR="00042B56" w:rsidRPr="00BC3AFC" w:rsidRDefault="00042B56" w:rsidP="00C85442">
            <w:pPr>
              <w:spacing w:line="240" w:lineRule="auto"/>
              <w:rPr>
                <w:b/>
                <w:lang w:val="en-GB"/>
              </w:rPr>
            </w:pPr>
            <w:r w:rsidRPr="00BC3AFC">
              <w:rPr>
                <w:b/>
                <w:lang w:val="en-GB"/>
              </w:rPr>
              <w:t>Laboratory process</w:t>
            </w:r>
          </w:p>
        </w:tc>
        <w:tc>
          <w:tcPr>
            <w:tcW w:w="3021" w:type="dxa"/>
            <w:shd w:val="clear" w:color="auto" w:fill="BFBFBF" w:themeFill="background1" w:themeFillShade="BF"/>
          </w:tcPr>
          <w:p w:rsidR="00042B56" w:rsidRPr="00BC3AFC" w:rsidRDefault="00042B56" w:rsidP="00C85442">
            <w:pPr>
              <w:spacing w:line="240" w:lineRule="auto"/>
              <w:rPr>
                <w:b/>
                <w:lang w:val="en-GB"/>
              </w:rPr>
            </w:pPr>
            <w:r w:rsidRPr="00BC3AFC">
              <w:rPr>
                <w:b/>
                <w:lang w:val="en-GB"/>
              </w:rPr>
              <w:t>Comments</w:t>
            </w:r>
          </w:p>
        </w:tc>
      </w:tr>
      <w:tr w:rsidR="00042B56" w:rsidRPr="0062751B" w:rsidTr="00D35CED">
        <w:tc>
          <w:tcPr>
            <w:tcW w:w="8925" w:type="dxa"/>
            <w:gridSpan w:val="3"/>
            <w:shd w:val="clear" w:color="auto" w:fill="FFFFFF" w:themeFill="background1"/>
            <w:vAlign w:val="center"/>
          </w:tcPr>
          <w:p w:rsidR="00042B56" w:rsidRPr="00042B56" w:rsidRDefault="00042B56" w:rsidP="00C85442">
            <w:pPr>
              <w:spacing w:line="240" w:lineRule="auto"/>
              <w:jc w:val="left"/>
              <w:rPr>
                <w:b/>
                <w:lang w:val="en-GB"/>
              </w:rPr>
            </w:pPr>
            <w:r w:rsidRPr="00BC3AFC">
              <w:rPr>
                <w:b/>
                <w:lang w:val="en-GB"/>
              </w:rPr>
              <w:t>Non-sterile site specimens: may be contaminated by colonising organisms</w:t>
            </w:r>
          </w:p>
        </w:tc>
      </w:tr>
      <w:tr w:rsidR="00042B56" w:rsidRPr="00BC3AFC" w:rsidTr="00D35CED">
        <w:tc>
          <w:tcPr>
            <w:tcW w:w="8925" w:type="dxa"/>
            <w:gridSpan w:val="3"/>
          </w:tcPr>
          <w:p w:rsidR="00042B56" w:rsidRPr="00BC3AFC" w:rsidRDefault="00042B56" w:rsidP="00C85442">
            <w:pPr>
              <w:spacing w:line="240" w:lineRule="auto"/>
              <w:jc w:val="left"/>
              <w:rPr>
                <w:b/>
                <w:lang w:val="en-GB"/>
              </w:rPr>
            </w:pPr>
            <w:r w:rsidRPr="00BC3AFC">
              <w:rPr>
                <w:b/>
                <w:lang w:val="en-GB"/>
              </w:rPr>
              <w:t>1. Eye / Respiratory</w:t>
            </w:r>
          </w:p>
        </w:tc>
      </w:tr>
      <w:tr w:rsidR="00042B56" w:rsidRPr="00BC3AFC" w:rsidTr="00D35CED">
        <w:tc>
          <w:tcPr>
            <w:tcW w:w="2235" w:type="dxa"/>
          </w:tcPr>
          <w:p w:rsidR="00042B56" w:rsidRPr="00BC3AFC" w:rsidRDefault="00042B56" w:rsidP="00C85442">
            <w:pPr>
              <w:spacing w:line="240" w:lineRule="auto"/>
              <w:jc w:val="left"/>
              <w:rPr>
                <w:lang w:val="en-GB"/>
              </w:rPr>
            </w:pPr>
            <w:r>
              <w:rPr>
                <w:lang w:val="en-GB"/>
              </w:rPr>
              <w:t>Ear swab*</w:t>
            </w:r>
            <w:r w:rsidR="00D11B26">
              <w:rPr>
                <w:lang w:val="en-GB"/>
              </w:rPr>
              <w:t>*</w:t>
            </w:r>
          </w:p>
        </w:tc>
        <w:tc>
          <w:tcPr>
            <w:tcW w:w="3669" w:type="dxa"/>
          </w:tcPr>
          <w:p w:rsidR="00042B56" w:rsidRPr="00BC3AFC" w:rsidRDefault="00042B56" w:rsidP="00C85442">
            <w:pPr>
              <w:spacing w:line="240" w:lineRule="auto"/>
              <w:jc w:val="left"/>
              <w:rPr>
                <w:lang w:val="en-GB"/>
              </w:rPr>
            </w:pPr>
            <w:r w:rsidRPr="00BC3AFC">
              <w:rPr>
                <w:lang w:val="en-GB"/>
              </w:rPr>
              <w:t>Gram stain</w:t>
            </w:r>
          </w:p>
          <w:p w:rsidR="00042B56" w:rsidRPr="00BC3AFC" w:rsidRDefault="00042B56" w:rsidP="00C85442">
            <w:pPr>
              <w:spacing w:line="240" w:lineRule="auto"/>
              <w:jc w:val="left"/>
              <w:rPr>
                <w:lang w:val="en-GB"/>
              </w:rPr>
            </w:pPr>
            <w:r w:rsidRPr="00BC3AFC">
              <w:rPr>
                <w:lang w:val="en-GB"/>
              </w:rPr>
              <w:t>Culture for 48 hours</w:t>
            </w:r>
          </w:p>
        </w:tc>
        <w:tc>
          <w:tcPr>
            <w:tcW w:w="3021" w:type="dxa"/>
          </w:tcPr>
          <w:p w:rsidR="00042B56" w:rsidRPr="00BC3AFC" w:rsidRDefault="00042B56" w:rsidP="00C85442">
            <w:pPr>
              <w:spacing w:line="240" w:lineRule="auto"/>
              <w:jc w:val="left"/>
              <w:rPr>
                <w:lang w:val="en-GB"/>
              </w:rPr>
            </w:pPr>
            <w:r w:rsidRPr="00BC3AFC">
              <w:rPr>
                <w:lang w:val="en-GB"/>
              </w:rPr>
              <w:t xml:space="preserve">These specimens </w:t>
            </w:r>
            <w:r w:rsidRPr="00BC3AFC">
              <w:rPr>
                <w:b/>
                <w:i/>
                <w:lang w:val="en-GB"/>
              </w:rPr>
              <w:t xml:space="preserve">will not be processed </w:t>
            </w:r>
            <w:r w:rsidRPr="00BC3AFC">
              <w:rPr>
                <w:lang w:val="en-GB"/>
              </w:rPr>
              <w:t>without adequate clinical treatment information</w:t>
            </w:r>
          </w:p>
        </w:tc>
      </w:tr>
      <w:tr w:rsidR="00042B56" w:rsidRPr="00BC3AFC" w:rsidTr="00D35CED">
        <w:tc>
          <w:tcPr>
            <w:tcW w:w="2235" w:type="dxa"/>
          </w:tcPr>
          <w:p w:rsidR="00042B56" w:rsidRPr="00BC3AFC" w:rsidRDefault="00042B56" w:rsidP="00C85442">
            <w:pPr>
              <w:spacing w:line="240" w:lineRule="auto"/>
              <w:jc w:val="left"/>
              <w:rPr>
                <w:lang w:val="en-GB"/>
              </w:rPr>
            </w:pPr>
            <w:r>
              <w:rPr>
                <w:lang w:val="en-GB"/>
              </w:rPr>
              <w:t>Eye swab*</w:t>
            </w:r>
            <w:r w:rsidR="00D11B26">
              <w:rPr>
                <w:lang w:val="en-GB"/>
              </w:rPr>
              <w:t>*</w:t>
            </w:r>
          </w:p>
        </w:tc>
        <w:tc>
          <w:tcPr>
            <w:tcW w:w="3669" w:type="dxa"/>
          </w:tcPr>
          <w:p w:rsidR="00042B56" w:rsidRPr="00BC3AFC" w:rsidRDefault="00042B56" w:rsidP="00C85442">
            <w:pPr>
              <w:spacing w:line="240" w:lineRule="auto"/>
              <w:jc w:val="left"/>
              <w:rPr>
                <w:lang w:val="en-GB"/>
              </w:rPr>
            </w:pPr>
            <w:r w:rsidRPr="00BC3AFC">
              <w:rPr>
                <w:lang w:val="en-GB"/>
              </w:rPr>
              <w:t>Gram stain</w:t>
            </w:r>
          </w:p>
          <w:p w:rsidR="00042B56" w:rsidRPr="00BC3AFC" w:rsidRDefault="00042B56" w:rsidP="00C85442">
            <w:pPr>
              <w:spacing w:line="240" w:lineRule="auto"/>
              <w:jc w:val="left"/>
              <w:rPr>
                <w:lang w:val="en-GB"/>
              </w:rPr>
            </w:pPr>
            <w:r w:rsidRPr="00BC3AFC">
              <w:rPr>
                <w:lang w:val="en-GB"/>
              </w:rPr>
              <w:t>Culture for 48 hours</w:t>
            </w:r>
          </w:p>
        </w:tc>
        <w:tc>
          <w:tcPr>
            <w:tcW w:w="3021" w:type="dxa"/>
          </w:tcPr>
          <w:p w:rsidR="00042B56" w:rsidRPr="00BC3AFC" w:rsidRDefault="00042B56" w:rsidP="00C85442">
            <w:pPr>
              <w:spacing w:line="240" w:lineRule="auto"/>
              <w:jc w:val="left"/>
              <w:rPr>
                <w:lang w:val="en-GB"/>
              </w:rPr>
            </w:pPr>
            <w:r w:rsidRPr="00BC3AFC">
              <w:rPr>
                <w:lang w:val="en-GB"/>
              </w:rPr>
              <w:t xml:space="preserve">If from a neonate, culture for </w:t>
            </w:r>
            <w:r w:rsidRPr="00BC3AFC">
              <w:rPr>
                <w:i/>
                <w:lang w:val="en-GB"/>
              </w:rPr>
              <w:t>Neisseria gonorrhoeae</w:t>
            </w:r>
            <w:r w:rsidRPr="00BC3AFC">
              <w:rPr>
                <w:lang w:val="en-GB"/>
              </w:rPr>
              <w:t xml:space="preserve"> is also done</w:t>
            </w:r>
          </w:p>
        </w:tc>
      </w:tr>
      <w:tr w:rsidR="00042B56" w:rsidRPr="00BC3AFC" w:rsidTr="00D35CED">
        <w:tc>
          <w:tcPr>
            <w:tcW w:w="2235" w:type="dxa"/>
          </w:tcPr>
          <w:p w:rsidR="00042B56" w:rsidRPr="00BC3AFC" w:rsidRDefault="00042B56" w:rsidP="00C85442">
            <w:pPr>
              <w:spacing w:line="240" w:lineRule="auto"/>
              <w:jc w:val="left"/>
              <w:rPr>
                <w:lang w:val="en-GB"/>
              </w:rPr>
            </w:pPr>
            <w:r w:rsidRPr="00BC3AFC">
              <w:rPr>
                <w:lang w:val="en-GB"/>
              </w:rPr>
              <w:t>Gastric aspirates / sputum for TB</w:t>
            </w:r>
          </w:p>
        </w:tc>
        <w:tc>
          <w:tcPr>
            <w:tcW w:w="3669" w:type="dxa"/>
          </w:tcPr>
          <w:p w:rsidR="00042B56" w:rsidRPr="00BC3AFC" w:rsidRDefault="00042B56" w:rsidP="00C85442">
            <w:pPr>
              <w:spacing w:line="240" w:lineRule="auto"/>
              <w:jc w:val="left"/>
              <w:rPr>
                <w:lang w:val="en-GB"/>
              </w:rPr>
            </w:pPr>
            <w:r w:rsidRPr="00BC3AFC">
              <w:rPr>
                <w:lang w:val="en-GB"/>
              </w:rPr>
              <w:t>ZN stain (days 1, 2, &amp; 3)</w:t>
            </w:r>
          </w:p>
          <w:p w:rsidR="00042B56" w:rsidRPr="00BC3AFC" w:rsidRDefault="00042B56" w:rsidP="00C85442">
            <w:pPr>
              <w:spacing w:line="240" w:lineRule="auto"/>
              <w:jc w:val="left"/>
              <w:rPr>
                <w:lang w:val="en-GB"/>
              </w:rPr>
            </w:pPr>
            <w:r w:rsidRPr="00BC3AFC">
              <w:rPr>
                <w:lang w:val="en-GB"/>
              </w:rPr>
              <w:t>TB GeneXpert days 1 &amp; 2 only</w:t>
            </w:r>
          </w:p>
        </w:tc>
        <w:tc>
          <w:tcPr>
            <w:tcW w:w="3021" w:type="dxa"/>
          </w:tcPr>
          <w:p w:rsidR="00042B56" w:rsidRPr="00BC3AFC" w:rsidRDefault="00042B56" w:rsidP="00C85442">
            <w:pPr>
              <w:spacing w:line="240" w:lineRule="auto"/>
              <w:jc w:val="left"/>
              <w:rPr>
                <w:lang w:val="en-GB"/>
              </w:rPr>
            </w:pPr>
            <w:r w:rsidRPr="00BC3AFC">
              <w:rPr>
                <w:lang w:val="en-GB"/>
              </w:rPr>
              <w:t>Young children cannot produce good quality sputum</w:t>
            </w:r>
          </w:p>
          <w:p w:rsidR="00042B56" w:rsidRPr="00BC3AFC" w:rsidRDefault="00042B56" w:rsidP="00C85442">
            <w:pPr>
              <w:spacing w:line="240" w:lineRule="auto"/>
              <w:jc w:val="left"/>
              <w:rPr>
                <w:lang w:val="en-GB"/>
              </w:rPr>
            </w:pPr>
            <w:r w:rsidRPr="00BC3AFC">
              <w:rPr>
                <w:lang w:val="en-GB"/>
              </w:rPr>
              <w:t>GeneXpert cannot be used for TB treatment monitoring</w:t>
            </w:r>
          </w:p>
        </w:tc>
      </w:tr>
      <w:tr w:rsidR="00042B56" w:rsidRPr="00BC3AFC" w:rsidTr="00D35CED">
        <w:tc>
          <w:tcPr>
            <w:tcW w:w="2235" w:type="dxa"/>
          </w:tcPr>
          <w:p w:rsidR="00042B56" w:rsidRPr="00BC3AFC" w:rsidRDefault="00042B56" w:rsidP="00C85442">
            <w:pPr>
              <w:spacing w:line="240" w:lineRule="auto"/>
              <w:jc w:val="left"/>
              <w:rPr>
                <w:lang w:val="en-GB"/>
              </w:rPr>
            </w:pPr>
            <w:r w:rsidRPr="00BC3AFC">
              <w:rPr>
                <w:lang w:val="en-GB"/>
              </w:rPr>
              <w:t>Sputum / ETT aspirate</w:t>
            </w:r>
            <w:r w:rsidR="00D11B26">
              <w:rPr>
                <w:lang w:val="en-GB"/>
              </w:rPr>
              <w:t>**</w:t>
            </w:r>
          </w:p>
        </w:tc>
        <w:tc>
          <w:tcPr>
            <w:tcW w:w="3669" w:type="dxa"/>
          </w:tcPr>
          <w:p w:rsidR="00042B56" w:rsidRPr="00BC3AFC" w:rsidRDefault="00042B56" w:rsidP="00C85442">
            <w:pPr>
              <w:spacing w:line="240" w:lineRule="auto"/>
              <w:jc w:val="left"/>
              <w:rPr>
                <w:lang w:val="en-GB"/>
              </w:rPr>
            </w:pPr>
            <w:r w:rsidRPr="00BC3AFC">
              <w:rPr>
                <w:lang w:val="en-GB"/>
              </w:rPr>
              <w:t>Gram stain</w:t>
            </w:r>
          </w:p>
          <w:p w:rsidR="00042B56" w:rsidRPr="00BC3AFC" w:rsidRDefault="00042B56" w:rsidP="00C85442">
            <w:pPr>
              <w:spacing w:line="240" w:lineRule="auto"/>
              <w:jc w:val="left"/>
              <w:rPr>
                <w:lang w:val="en-GB"/>
              </w:rPr>
            </w:pPr>
            <w:r w:rsidRPr="00BC3AFC">
              <w:rPr>
                <w:lang w:val="en-GB"/>
              </w:rPr>
              <w:t>Culture for 48 hours</w:t>
            </w:r>
          </w:p>
          <w:p w:rsidR="00042B56" w:rsidRPr="00BC3AFC" w:rsidRDefault="00042B56" w:rsidP="00C85442">
            <w:pPr>
              <w:spacing w:line="240" w:lineRule="auto"/>
              <w:jc w:val="left"/>
              <w:rPr>
                <w:b/>
                <w:i/>
                <w:lang w:val="en-GB"/>
              </w:rPr>
            </w:pPr>
            <w:r w:rsidRPr="00BC3AFC">
              <w:rPr>
                <w:lang w:val="en-GB"/>
              </w:rPr>
              <w:t xml:space="preserve">ZN stain &amp; TB GeneXpert </w:t>
            </w:r>
            <w:r w:rsidRPr="00BC3AFC">
              <w:rPr>
                <w:b/>
                <w:i/>
                <w:lang w:val="en-GB"/>
              </w:rPr>
              <w:t>if requested</w:t>
            </w:r>
          </w:p>
          <w:p w:rsidR="00042B56" w:rsidRPr="00BC3AFC" w:rsidRDefault="00042B56" w:rsidP="00C85442">
            <w:pPr>
              <w:spacing w:line="240" w:lineRule="auto"/>
              <w:jc w:val="left"/>
              <w:rPr>
                <w:lang w:val="en-GB"/>
              </w:rPr>
            </w:pPr>
            <w:r w:rsidRPr="00BC3AFC">
              <w:rPr>
                <w:lang w:val="en-GB"/>
              </w:rPr>
              <w:t xml:space="preserve">Melioid culture </w:t>
            </w:r>
            <w:r w:rsidRPr="00BC3AFC">
              <w:rPr>
                <w:b/>
                <w:i/>
                <w:lang w:val="en-GB"/>
              </w:rPr>
              <w:t>if requested</w:t>
            </w:r>
          </w:p>
        </w:tc>
        <w:tc>
          <w:tcPr>
            <w:tcW w:w="3021" w:type="dxa"/>
          </w:tcPr>
          <w:p w:rsidR="00042B56" w:rsidRPr="00BC3AFC" w:rsidRDefault="00042B56" w:rsidP="00C85442">
            <w:pPr>
              <w:spacing w:line="240" w:lineRule="auto"/>
              <w:jc w:val="left"/>
              <w:rPr>
                <w:lang w:val="en-GB"/>
              </w:rPr>
            </w:pPr>
            <w:r w:rsidRPr="00BC3AFC">
              <w:rPr>
                <w:b/>
                <w:i/>
                <w:lang w:val="en-GB"/>
              </w:rPr>
              <w:t>These specimens usually have little clinical value</w:t>
            </w:r>
            <w:r w:rsidRPr="00BC3AFC">
              <w:rPr>
                <w:lang w:val="en-GB"/>
              </w:rPr>
              <w:t xml:space="preserve"> as they are often heavily contaminated by colonising organisms </w:t>
            </w:r>
          </w:p>
        </w:tc>
      </w:tr>
      <w:tr w:rsidR="00042B56" w:rsidRPr="00BC3AFC" w:rsidTr="00D35CED">
        <w:tc>
          <w:tcPr>
            <w:tcW w:w="2235" w:type="dxa"/>
          </w:tcPr>
          <w:p w:rsidR="00042B56" w:rsidRPr="00BC3AFC" w:rsidRDefault="00042B56" w:rsidP="00C85442">
            <w:pPr>
              <w:spacing w:line="240" w:lineRule="auto"/>
              <w:jc w:val="left"/>
              <w:rPr>
                <w:lang w:val="en-GB"/>
              </w:rPr>
            </w:pPr>
            <w:r w:rsidRPr="00BC3AFC">
              <w:rPr>
                <w:lang w:val="en-GB"/>
              </w:rPr>
              <w:t>Throat swab</w:t>
            </w:r>
          </w:p>
        </w:tc>
        <w:tc>
          <w:tcPr>
            <w:tcW w:w="3669" w:type="dxa"/>
          </w:tcPr>
          <w:p w:rsidR="00042B56" w:rsidRPr="00BC3AFC" w:rsidRDefault="00042B56" w:rsidP="00C85442">
            <w:pPr>
              <w:spacing w:line="240" w:lineRule="auto"/>
              <w:jc w:val="left"/>
              <w:rPr>
                <w:lang w:val="en-GB"/>
              </w:rPr>
            </w:pPr>
            <w:r w:rsidRPr="00BC3AFC">
              <w:rPr>
                <w:lang w:val="en-GB"/>
              </w:rPr>
              <w:t>No Gram stain</w:t>
            </w:r>
          </w:p>
          <w:p w:rsidR="00042B56" w:rsidRPr="00BC3AFC" w:rsidRDefault="00042B56" w:rsidP="00C85442">
            <w:pPr>
              <w:spacing w:line="240" w:lineRule="auto"/>
              <w:jc w:val="left"/>
              <w:rPr>
                <w:lang w:val="en-GB"/>
              </w:rPr>
            </w:pPr>
            <w:r w:rsidRPr="00BC3AFC">
              <w:rPr>
                <w:lang w:val="en-GB"/>
              </w:rPr>
              <w:t>Culture for 24 hours</w:t>
            </w:r>
          </w:p>
          <w:p w:rsidR="00042B56" w:rsidRPr="00BC3AFC" w:rsidRDefault="00042B56" w:rsidP="00C85442">
            <w:pPr>
              <w:spacing w:line="240" w:lineRule="auto"/>
              <w:jc w:val="left"/>
              <w:rPr>
                <w:lang w:val="en-GB"/>
              </w:rPr>
            </w:pPr>
            <w:r w:rsidRPr="00BC3AFC">
              <w:rPr>
                <w:lang w:val="en-GB"/>
              </w:rPr>
              <w:t xml:space="preserve">Melioid culture </w:t>
            </w:r>
            <w:r w:rsidRPr="00BC3AFC">
              <w:rPr>
                <w:b/>
                <w:i/>
                <w:lang w:val="en-GB"/>
              </w:rPr>
              <w:t>if requested</w:t>
            </w:r>
          </w:p>
        </w:tc>
        <w:tc>
          <w:tcPr>
            <w:tcW w:w="3021" w:type="dxa"/>
          </w:tcPr>
          <w:p w:rsidR="00042B56" w:rsidRPr="00BC3AFC" w:rsidRDefault="00042B56" w:rsidP="00C85442">
            <w:pPr>
              <w:spacing w:line="240" w:lineRule="auto"/>
              <w:jc w:val="left"/>
              <w:rPr>
                <w:lang w:val="en-GB"/>
              </w:rPr>
            </w:pPr>
            <w:r w:rsidRPr="00BC3AFC">
              <w:rPr>
                <w:lang w:val="en-GB"/>
              </w:rPr>
              <w:t>Routine swabs only report growth of beta-haemolytic streptococci</w:t>
            </w:r>
          </w:p>
          <w:p w:rsidR="00042B56" w:rsidRPr="00BC3AFC" w:rsidRDefault="00042B56" w:rsidP="00C85442">
            <w:pPr>
              <w:spacing w:line="240" w:lineRule="auto"/>
              <w:jc w:val="left"/>
              <w:rPr>
                <w:lang w:val="en-GB"/>
              </w:rPr>
            </w:pPr>
            <w:r w:rsidRPr="00BC3AFC">
              <w:rPr>
                <w:lang w:val="en-GB"/>
              </w:rPr>
              <w:t xml:space="preserve">Culture for </w:t>
            </w:r>
            <w:r w:rsidRPr="00BC3AFC">
              <w:rPr>
                <w:i/>
                <w:lang w:val="en-GB"/>
              </w:rPr>
              <w:t xml:space="preserve">N. gonorrhoeae </w:t>
            </w:r>
            <w:r w:rsidRPr="00BC3AFC">
              <w:rPr>
                <w:lang w:val="en-GB"/>
              </w:rPr>
              <w:t>is done if flagged as a suspected sexual abuse case</w:t>
            </w:r>
          </w:p>
          <w:p w:rsidR="00042B56" w:rsidRPr="00BC3AFC" w:rsidRDefault="00042B56" w:rsidP="00C85442">
            <w:pPr>
              <w:spacing w:line="240" w:lineRule="auto"/>
              <w:jc w:val="left"/>
              <w:rPr>
                <w:lang w:val="en-GB"/>
              </w:rPr>
            </w:pPr>
            <w:r w:rsidRPr="00BC3AFC">
              <w:rPr>
                <w:lang w:val="en-GB"/>
              </w:rPr>
              <w:t xml:space="preserve">Culture for </w:t>
            </w:r>
            <w:r w:rsidRPr="00BC3AFC">
              <w:rPr>
                <w:i/>
                <w:lang w:val="en-GB"/>
              </w:rPr>
              <w:t xml:space="preserve">Candida </w:t>
            </w:r>
            <w:r w:rsidRPr="00BC3AFC">
              <w:rPr>
                <w:lang w:val="en-GB"/>
              </w:rPr>
              <w:t>sp., if flagged as an HIV or other immunocompromise case</w:t>
            </w:r>
          </w:p>
        </w:tc>
      </w:tr>
      <w:tr w:rsidR="00042B56" w:rsidRPr="00BC3AFC" w:rsidTr="00D35CED">
        <w:tc>
          <w:tcPr>
            <w:tcW w:w="8925" w:type="dxa"/>
            <w:gridSpan w:val="3"/>
          </w:tcPr>
          <w:p w:rsidR="00042B56" w:rsidRPr="00BC3AFC" w:rsidRDefault="00042B56" w:rsidP="00C85442">
            <w:pPr>
              <w:spacing w:line="240" w:lineRule="auto"/>
              <w:jc w:val="left"/>
              <w:rPr>
                <w:b/>
                <w:lang w:val="en-GB"/>
              </w:rPr>
            </w:pPr>
            <w:r w:rsidRPr="00BC3AFC">
              <w:rPr>
                <w:b/>
                <w:lang w:val="en-GB"/>
              </w:rPr>
              <w:t>Gastro-intestinal tract</w:t>
            </w:r>
          </w:p>
        </w:tc>
      </w:tr>
      <w:tr w:rsidR="00042B56" w:rsidRPr="00BC3AFC" w:rsidTr="00D35CED">
        <w:tc>
          <w:tcPr>
            <w:tcW w:w="2235" w:type="dxa"/>
          </w:tcPr>
          <w:p w:rsidR="00042B56" w:rsidRPr="00BC3AFC" w:rsidRDefault="00042B56" w:rsidP="00C85442">
            <w:pPr>
              <w:spacing w:line="240" w:lineRule="auto"/>
              <w:jc w:val="left"/>
              <w:rPr>
                <w:lang w:val="en-GB"/>
              </w:rPr>
            </w:pPr>
            <w:r w:rsidRPr="00BC3AFC">
              <w:rPr>
                <w:lang w:val="en-GB"/>
              </w:rPr>
              <w:t>Faeces</w:t>
            </w:r>
          </w:p>
        </w:tc>
        <w:tc>
          <w:tcPr>
            <w:tcW w:w="3669" w:type="dxa"/>
          </w:tcPr>
          <w:p w:rsidR="00042B56" w:rsidRPr="00BC3AFC" w:rsidRDefault="00042B56" w:rsidP="00C85442">
            <w:pPr>
              <w:spacing w:line="240" w:lineRule="auto"/>
              <w:jc w:val="left"/>
              <w:rPr>
                <w:lang w:val="en-GB"/>
              </w:rPr>
            </w:pPr>
            <w:r w:rsidRPr="00BC3AFC">
              <w:rPr>
                <w:lang w:val="en-GB"/>
              </w:rPr>
              <w:t>No Gram stain</w:t>
            </w:r>
          </w:p>
          <w:p w:rsidR="00042B56" w:rsidRPr="00BC3AFC" w:rsidRDefault="00042B56" w:rsidP="00C85442">
            <w:pPr>
              <w:spacing w:line="240" w:lineRule="auto"/>
              <w:jc w:val="left"/>
              <w:rPr>
                <w:lang w:val="en-GB"/>
              </w:rPr>
            </w:pPr>
            <w:r w:rsidRPr="00BC3AFC">
              <w:rPr>
                <w:lang w:val="en-GB"/>
              </w:rPr>
              <w:t>Wet prep / ZN stain for parasites</w:t>
            </w:r>
          </w:p>
          <w:p w:rsidR="00042B56" w:rsidRPr="00BC3AFC" w:rsidRDefault="00042B56" w:rsidP="00C85442">
            <w:pPr>
              <w:spacing w:line="240" w:lineRule="auto"/>
              <w:jc w:val="left"/>
              <w:rPr>
                <w:lang w:val="en-GB"/>
              </w:rPr>
            </w:pPr>
            <w:r w:rsidRPr="00BC3AFC">
              <w:rPr>
                <w:lang w:val="en-GB"/>
              </w:rPr>
              <w:t xml:space="preserve">Culture for 48 hours </w:t>
            </w:r>
            <w:r w:rsidRPr="00BC3AFC">
              <w:rPr>
                <w:b/>
                <w:i/>
                <w:lang w:val="en-GB"/>
              </w:rPr>
              <w:t>if requested</w:t>
            </w:r>
          </w:p>
        </w:tc>
        <w:tc>
          <w:tcPr>
            <w:tcW w:w="3021" w:type="dxa"/>
          </w:tcPr>
          <w:p w:rsidR="00042B56" w:rsidRPr="00BC3AFC" w:rsidRDefault="00042B56" w:rsidP="00C85442">
            <w:pPr>
              <w:spacing w:line="240" w:lineRule="auto"/>
              <w:jc w:val="left"/>
              <w:rPr>
                <w:lang w:val="en-GB"/>
              </w:rPr>
            </w:pPr>
            <w:r w:rsidRPr="00BC3AFC">
              <w:rPr>
                <w:lang w:val="en-GB"/>
              </w:rPr>
              <w:t xml:space="preserve">Culture will identify </w:t>
            </w:r>
            <w:r w:rsidRPr="00BC3AFC">
              <w:rPr>
                <w:i/>
                <w:lang w:val="en-GB"/>
              </w:rPr>
              <w:t xml:space="preserve">Salmonella </w:t>
            </w:r>
            <w:r w:rsidRPr="00BC3AFC">
              <w:rPr>
                <w:lang w:val="en-GB"/>
              </w:rPr>
              <w:t xml:space="preserve">sp. and </w:t>
            </w:r>
            <w:r w:rsidRPr="00BC3AFC">
              <w:rPr>
                <w:i/>
                <w:lang w:val="en-GB"/>
              </w:rPr>
              <w:t xml:space="preserve">Shigella </w:t>
            </w:r>
            <w:r w:rsidRPr="00BC3AFC">
              <w:rPr>
                <w:lang w:val="en-GB"/>
              </w:rPr>
              <w:t>sp.</w:t>
            </w:r>
          </w:p>
        </w:tc>
      </w:tr>
      <w:tr w:rsidR="00042B56" w:rsidRPr="00BC3AFC" w:rsidTr="00D35CED">
        <w:tc>
          <w:tcPr>
            <w:tcW w:w="8925" w:type="dxa"/>
            <w:gridSpan w:val="3"/>
          </w:tcPr>
          <w:p w:rsidR="00042B56" w:rsidRPr="00BC3AFC" w:rsidRDefault="00042B56" w:rsidP="00C85442">
            <w:pPr>
              <w:spacing w:line="240" w:lineRule="auto"/>
              <w:jc w:val="left"/>
              <w:rPr>
                <w:b/>
                <w:lang w:val="en-GB"/>
              </w:rPr>
            </w:pPr>
            <w:r w:rsidRPr="00BC3AFC">
              <w:rPr>
                <w:b/>
                <w:lang w:val="en-GB"/>
              </w:rPr>
              <w:t>Skin / soft tissue</w:t>
            </w:r>
          </w:p>
        </w:tc>
      </w:tr>
      <w:tr w:rsidR="00042B56" w:rsidRPr="00BC3AFC" w:rsidTr="00D35CED">
        <w:tc>
          <w:tcPr>
            <w:tcW w:w="2235" w:type="dxa"/>
          </w:tcPr>
          <w:p w:rsidR="00042B56" w:rsidRPr="00BC3AFC" w:rsidRDefault="00042B56" w:rsidP="00C85442">
            <w:pPr>
              <w:spacing w:line="240" w:lineRule="auto"/>
              <w:jc w:val="left"/>
              <w:rPr>
                <w:lang w:val="en-GB"/>
              </w:rPr>
            </w:pPr>
            <w:r w:rsidRPr="00BC3AFC">
              <w:rPr>
                <w:lang w:val="en-GB"/>
              </w:rPr>
              <w:t>Skin / pus / wound swab</w:t>
            </w:r>
            <w:r>
              <w:rPr>
                <w:lang w:val="en-GB"/>
              </w:rPr>
              <w:t>*</w:t>
            </w:r>
            <w:r w:rsidR="00D11B26">
              <w:rPr>
                <w:lang w:val="en-GB"/>
              </w:rPr>
              <w:t>*</w:t>
            </w:r>
          </w:p>
        </w:tc>
        <w:tc>
          <w:tcPr>
            <w:tcW w:w="3669" w:type="dxa"/>
          </w:tcPr>
          <w:p w:rsidR="00042B56" w:rsidRPr="00BC3AFC" w:rsidRDefault="00042B56" w:rsidP="00C85442">
            <w:pPr>
              <w:spacing w:line="240" w:lineRule="auto"/>
              <w:jc w:val="left"/>
              <w:rPr>
                <w:lang w:val="en-GB"/>
              </w:rPr>
            </w:pPr>
            <w:r w:rsidRPr="00BC3AFC">
              <w:rPr>
                <w:lang w:val="en-GB"/>
              </w:rPr>
              <w:t>Gram stain</w:t>
            </w:r>
          </w:p>
          <w:p w:rsidR="00042B56" w:rsidRPr="00BC3AFC" w:rsidRDefault="00042B56" w:rsidP="00C85442">
            <w:pPr>
              <w:spacing w:line="240" w:lineRule="auto"/>
              <w:jc w:val="left"/>
              <w:rPr>
                <w:lang w:val="en-GB"/>
              </w:rPr>
            </w:pPr>
            <w:r w:rsidRPr="00BC3AFC">
              <w:rPr>
                <w:lang w:val="en-GB"/>
              </w:rPr>
              <w:t>Culture for 48 hours</w:t>
            </w:r>
          </w:p>
          <w:p w:rsidR="00042B56" w:rsidRPr="00BC3AFC" w:rsidRDefault="00042B56" w:rsidP="00C85442">
            <w:pPr>
              <w:spacing w:line="240" w:lineRule="auto"/>
              <w:jc w:val="left"/>
              <w:rPr>
                <w:lang w:val="en-GB"/>
              </w:rPr>
            </w:pPr>
            <w:r w:rsidRPr="00BC3AFC">
              <w:rPr>
                <w:lang w:val="en-GB"/>
              </w:rPr>
              <w:t xml:space="preserve">Melioid culture </w:t>
            </w:r>
            <w:r w:rsidRPr="00BC3AFC">
              <w:rPr>
                <w:b/>
                <w:i/>
                <w:lang w:val="en-GB"/>
              </w:rPr>
              <w:t>if requested</w:t>
            </w:r>
          </w:p>
        </w:tc>
        <w:tc>
          <w:tcPr>
            <w:tcW w:w="3021" w:type="dxa"/>
          </w:tcPr>
          <w:p w:rsidR="00042B56" w:rsidRPr="00BC3AFC" w:rsidRDefault="00042B56" w:rsidP="00C85442">
            <w:pPr>
              <w:spacing w:line="240" w:lineRule="auto"/>
              <w:jc w:val="left"/>
              <w:rPr>
                <w:lang w:val="en-GB"/>
              </w:rPr>
            </w:pPr>
            <w:r w:rsidRPr="00BC3AFC">
              <w:rPr>
                <w:lang w:val="en-GB"/>
              </w:rPr>
              <w:t>Pus in a sterile pot is always preferred to a swab</w:t>
            </w:r>
          </w:p>
        </w:tc>
      </w:tr>
      <w:tr w:rsidR="00042B56" w:rsidRPr="00BC3AFC" w:rsidTr="00D35CED">
        <w:tc>
          <w:tcPr>
            <w:tcW w:w="8925" w:type="dxa"/>
            <w:gridSpan w:val="3"/>
          </w:tcPr>
          <w:p w:rsidR="00042B56" w:rsidRPr="00BC3AFC" w:rsidRDefault="00042B56" w:rsidP="00C85442">
            <w:pPr>
              <w:spacing w:line="240" w:lineRule="auto"/>
              <w:jc w:val="left"/>
              <w:rPr>
                <w:b/>
                <w:lang w:val="en-GB"/>
              </w:rPr>
            </w:pPr>
            <w:proofErr w:type="spellStart"/>
            <w:r w:rsidRPr="00BC3AFC">
              <w:rPr>
                <w:b/>
                <w:lang w:val="en-GB"/>
              </w:rPr>
              <w:t>Uro</w:t>
            </w:r>
            <w:proofErr w:type="spellEnd"/>
            <w:r w:rsidRPr="00BC3AFC">
              <w:rPr>
                <w:b/>
                <w:lang w:val="en-GB"/>
              </w:rPr>
              <w:t>-genital tract</w:t>
            </w:r>
          </w:p>
        </w:tc>
      </w:tr>
      <w:tr w:rsidR="00042B56" w:rsidRPr="00BC3AFC" w:rsidTr="00D35CED">
        <w:tc>
          <w:tcPr>
            <w:tcW w:w="2235" w:type="dxa"/>
          </w:tcPr>
          <w:p w:rsidR="00042B56" w:rsidRPr="00BC3AFC" w:rsidRDefault="00042B56" w:rsidP="00C85442">
            <w:pPr>
              <w:spacing w:line="240" w:lineRule="auto"/>
              <w:jc w:val="left"/>
              <w:rPr>
                <w:lang w:val="en-GB"/>
              </w:rPr>
            </w:pPr>
            <w:r w:rsidRPr="00BC3AFC">
              <w:rPr>
                <w:lang w:val="en-GB"/>
              </w:rPr>
              <w:t>Penile / rectal swab</w:t>
            </w:r>
          </w:p>
        </w:tc>
        <w:tc>
          <w:tcPr>
            <w:tcW w:w="3669" w:type="dxa"/>
          </w:tcPr>
          <w:p w:rsidR="00042B56" w:rsidRPr="00BC3AFC" w:rsidRDefault="00042B56" w:rsidP="00C85442">
            <w:pPr>
              <w:spacing w:line="240" w:lineRule="auto"/>
              <w:jc w:val="left"/>
              <w:rPr>
                <w:lang w:val="en-GB"/>
              </w:rPr>
            </w:pPr>
            <w:r w:rsidRPr="00BC3AFC">
              <w:rPr>
                <w:lang w:val="en-GB"/>
              </w:rPr>
              <w:t xml:space="preserve">Culture for </w:t>
            </w:r>
            <w:r w:rsidRPr="00BC3AFC">
              <w:rPr>
                <w:i/>
                <w:lang w:val="en-GB"/>
              </w:rPr>
              <w:t xml:space="preserve">Neisseria gonorrhoeae </w:t>
            </w:r>
            <w:r w:rsidRPr="00BC3AFC">
              <w:rPr>
                <w:lang w:val="en-GB"/>
              </w:rPr>
              <w:t>only</w:t>
            </w:r>
          </w:p>
        </w:tc>
        <w:tc>
          <w:tcPr>
            <w:tcW w:w="3021" w:type="dxa"/>
          </w:tcPr>
          <w:p w:rsidR="00042B56" w:rsidRPr="00BC3AFC" w:rsidRDefault="00042B56" w:rsidP="00C85442">
            <w:pPr>
              <w:spacing w:line="240" w:lineRule="auto"/>
              <w:jc w:val="left"/>
              <w:rPr>
                <w:lang w:val="en-GB"/>
              </w:rPr>
            </w:pPr>
            <w:r w:rsidRPr="00BC3AFC">
              <w:rPr>
                <w:lang w:val="en-GB"/>
              </w:rPr>
              <w:t>Only cultured if flagged as from a suspected sexual abuse case</w:t>
            </w:r>
          </w:p>
        </w:tc>
      </w:tr>
      <w:tr w:rsidR="00042B56" w:rsidRPr="00BC3AFC" w:rsidTr="00D35CED">
        <w:tc>
          <w:tcPr>
            <w:tcW w:w="2235" w:type="dxa"/>
          </w:tcPr>
          <w:p w:rsidR="00042B56" w:rsidRPr="00BC3AFC" w:rsidRDefault="00042B56" w:rsidP="00C85442">
            <w:pPr>
              <w:spacing w:line="240" w:lineRule="auto"/>
              <w:jc w:val="left"/>
              <w:rPr>
                <w:lang w:val="en-GB"/>
              </w:rPr>
            </w:pPr>
            <w:r w:rsidRPr="00BC3AFC">
              <w:rPr>
                <w:lang w:val="en-GB"/>
              </w:rPr>
              <w:t>Urine</w:t>
            </w:r>
          </w:p>
        </w:tc>
        <w:tc>
          <w:tcPr>
            <w:tcW w:w="3669" w:type="dxa"/>
          </w:tcPr>
          <w:p w:rsidR="00042B56" w:rsidRPr="00BC3AFC" w:rsidRDefault="00042B56" w:rsidP="00C85442">
            <w:pPr>
              <w:spacing w:line="240" w:lineRule="auto"/>
              <w:jc w:val="left"/>
              <w:rPr>
                <w:lang w:val="en-GB"/>
              </w:rPr>
            </w:pPr>
            <w:r w:rsidRPr="00BC3AFC">
              <w:rPr>
                <w:lang w:val="en-GB"/>
              </w:rPr>
              <w:t>No Gram stain</w:t>
            </w:r>
          </w:p>
          <w:p w:rsidR="00042B56" w:rsidRPr="00BC3AFC" w:rsidRDefault="00042B56" w:rsidP="00C85442">
            <w:pPr>
              <w:spacing w:line="240" w:lineRule="auto"/>
              <w:jc w:val="left"/>
              <w:rPr>
                <w:lang w:val="en-GB"/>
              </w:rPr>
            </w:pPr>
            <w:r w:rsidRPr="00BC3AFC">
              <w:rPr>
                <w:lang w:val="en-GB"/>
              </w:rPr>
              <w:t>Culture for 24 hours</w:t>
            </w:r>
          </w:p>
          <w:p w:rsidR="00042B56" w:rsidRPr="00BC3AFC" w:rsidRDefault="00042B56" w:rsidP="00C85442">
            <w:pPr>
              <w:spacing w:line="240" w:lineRule="auto"/>
              <w:jc w:val="left"/>
              <w:rPr>
                <w:lang w:val="en-GB"/>
              </w:rPr>
            </w:pPr>
            <w:r w:rsidRPr="00BC3AFC">
              <w:rPr>
                <w:lang w:val="en-GB"/>
              </w:rPr>
              <w:t xml:space="preserve">Melioid culture </w:t>
            </w:r>
            <w:r w:rsidRPr="00BC3AFC">
              <w:rPr>
                <w:b/>
                <w:i/>
                <w:lang w:val="en-GB"/>
              </w:rPr>
              <w:t>if requested</w:t>
            </w:r>
          </w:p>
        </w:tc>
        <w:tc>
          <w:tcPr>
            <w:tcW w:w="3021" w:type="dxa"/>
          </w:tcPr>
          <w:p w:rsidR="00042B56" w:rsidRPr="00BC3AFC" w:rsidRDefault="00042B56" w:rsidP="00C85442">
            <w:pPr>
              <w:spacing w:line="240" w:lineRule="auto"/>
              <w:jc w:val="left"/>
              <w:rPr>
                <w:lang w:val="en-GB"/>
              </w:rPr>
            </w:pPr>
            <w:r w:rsidRPr="00BC3AFC">
              <w:rPr>
                <w:lang w:val="en-GB"/>
              </w:rPr>
              <w:t>Clean catch preferred to bag specimen</w:t>
            </w:r>
          </w:p>
        </w:tc>
      </w:tr>
      <w:tr w:rsidR="00042B56" w:rsidRPr="00BC3AFC" w:rsidTr="00D35CED">
        <w:tc>
          <w:tcPr>
            <w:tcW w:w="2235" w:type="dxa"/>
          </w:tcPr>
          <w:p w:rsidR="00042B56" w:rsidRPr="00BC3AFC" w:rsidRDefault="00042B56" w:rsidP="00C85442">
            <w:pPr>
              <w:spacing w:line="240" w:lineRule="auto"/>
              <w:jc w:val="left"/>
              <w:rPr>
                <w:lang w:val="en-GB"/>
              </w:rPr>
            </w:pPr>
            <w:r w:rsidRPr="00BC3AFC">
              <w:rPr>
                <w:lang w:val="en-GB"/>
              </w:rPr>
              <w:t xml:space="preserve">Urine for </w:t>
            </w:r>
            <w:proofErr w:type="spellStart"/>
            <w:r w:rsidRPr="00BC3AFC">
              <w:rPr>
                <w:lang w:val="en-GB"/>
              </w:rPr>
              <w:t>gonococcal</w:t>
            </w:r>
            <w:proofErr w:type="spellEnd"/>
            <w:r w:rsidRPr="00BC3AFC">
              <w:rPr>
                <w:lang w:val="en-GB"/>
              </w:rPr>
              <w:t xml:space="preserve"> infection</w:t>
            </w:r>
          </w:p>
        </w:tc>
        <w:tc>
          <w:tcPr>
            <w:tcW w:w="3669" w:type="dxa"/>
          </w:tcPr>
          <w:p w:rsidR="00042B56" w:rsidRPr="00BC3AFC" w:rsidRDefault="00042B56" w:rsidP="00C85442">
            <w:pPr>
              <w:spacing w:line="240" w:lineRule="auto"/>
              <w:jc w:val="left"/>
              <w:rPr>
                <w:lang w:val="en-GB"/>
              </w:rPr>
            </w:pPr>
            <w:r w:rsidRPr="00BC3AFC">
              <w:rPr>
                <w:lang w:val="en-GB"/>
              </w:rPr>
              <w:t>No Gram stain or culture: CT / GC GeneXpert only</w:t>
            </w:r>
          </w:p>
        </w:tc>
        <w:tc>
          <w:tcPr>
            <w:tcW w:w="3021" w:type="dxa"/>
          </w:tcPr>
          <w:p w:rsidR="00042B56" w:rsidRPr="00BC3AFC" w:rsidRDefault="00042B56" w:rsidP="00C85442">
            <w:pPr>
              <w:spacing w:line="240" w:lineRule="auto"/>
              <w:jc w:val="left"/>
              <w:rPr>
                <w:lang w:val="en-GB"/>
              </w:rPr>
            </w:pPr>
            <w:r w:rsidRPr="00BC3AFC">
              <w:rPr>
                <w:lang w:val="en-GB"/>
              </w:rPr>
              <w:t>Male suspected sexual abuse cases only</w:t>
            </w:r>
          </w:p>
        </w:tc>
      </w:tr>
      <w:tr w:rsidR="00042B56" w:rsidRPr="00BC3AFC" w:rsidTr="00D35CED">
        <w:tc>
          <w:tcPr>
            <w:tcW w:w="2235" w:type="dxa"/>
          </w:tcPr>
          <w:p w:rsidR="00042B56" w:rsidRPr="00BC3AFC" w:rsidRDefault="00042B56" w:rsidP="00C85442">
            <w:pPr>
              <w:spacing w:line="240" w:lineRule="auto"/>
              <w:jc w:val="left"/>
              <w:rPr>
                <w:lang w:val="en-GB"/>
              </w:rPr>
            </w:pPr>
            <w:r w:rsidRPr="00BC3AFC">
              <w:rPr>
                <w:lang w:val="en-GB"/>
              </w:rPr>
              <w:t>Vaginal swab</w:t>
            </w:r>
          </w:p>
        </w:tc>
        <w:tc>
          <w:tcPr>
            <w:tcW w:w="3669" w:type="dxa"/>
          </w:tcPr>
          <w:p w:rsidR="00042B56" w:rsidRPr="00BC3AFC" w:rsidRDefault="00042B56" w:rsidP="00C85442">
            <w:pPr>
              <w:spacing w:line="240" w:lineRule="auto"/>
              <w:jc w:val="left"/>
              <w:rPr>
                <w:lang w:val="en-GB"/>
              </w:rPr>
            </w:pPr>
            <w:r w:rsidRPr="00BC3AFC">
              <w:rPr>
                <w:lang w:val="en-GB"/>
              </w:rPr>
              <w:t>Gram stain</w:t>
            </w:r>
          </w:p>
          <w:p w:rsidR="00042B56" w:rsidRPr="00BC3AFC" w:rsidRDefault="00042B56" w:rsidP="00C85442">
            <w:pPr>
              <w:spacing w:line="240" w:lineRule="auto"/>
              <w:jc w:val="left"/>
              <w:rPr>
                <w:lang w:val="en-GB"/>
              </w:rPr>
            </w:pPr>
            <w:r w:rsidRPr="00BC3AFC">
              <w:rPr>
                <w:lang w:val="en-GB"/>
              </w:rPr>
              <w:t>Culture for 48 hours</w:t>
            </w:r>
          </w:p>
          <w:p w:rsidR="00042B56" w:rsidRPr="00BC3AFC" w:rsidRDefault="00042B56" w:rsidP="00C85442">
            <w:pPr>
              <w:spacing w:line="240" w:lineRule="auto"/>
              <w:jc w:val="left"/>
              <w:rPr>
                <w:b/>
                <w:i/>
                <w:lang w:val="en-GB"/>
              </w:rPr>
            </w:pPr>
            <w:r w:rsidRPr="00BC3AFC">
              <w:rPr>
                <w:lang w:val="en-GB"/>
              </w:rPr>
              <w:t xml:space="preserve">CT / GC GeneXpert </w:t>
            </w:r>
            <w:r w:rsidRPr="00BC3AFC">
              <w:rPr>
                <w:b/>
                <w:i/>
                <w:lang w:val="en-GB"/>
              </w:rPr>
              <w:t>if requested</w:t>
            </w:r>
          </w:p>
        </w:tc>
        <w:tc>
          <w:tcPr>
            <w:tcW w:w="3021" w:type="dxa"/>
          </w:tcPr>
          <w:p w:rsidR="00042B56" w:rsidRPr="00BC3AFC" w:rsidRDefault="00042B56" w:rsidP="00C85442">
            <w:pPr>
              <w:spacing w:line="240" w:lineRule="auto"/>
              <w:jc w:val="left"/>
              <w:rPr>
                <w:lang w:val="en-GB"/>
              </w:rPr>
            </w:pPr>
            <w:r w:rsidRPr="00BC3AFC">
              <w:rPr>
                <w:lang w:val="en-GB"/>
              </w:rPr>
              <w:t>Please label if from a suspected sexual abuse case</w:t>
            </w:r>
          </w:p>
        </w:tc>
      </w:tr>
    </w:tbl>
    <w:p w:rsidR="006C65C5" w:rsidRPr="00BC3AFC" w:rsidRDefault="00042B56">
      <w:pPr>
        <w:spacing w:after="0" w:line="240" w:lineRule="auto"/>
        <w:jc w:val="left"/>
        <w:rPr>
          <w:rFonts w:ascii="Century Gothic" w:eastAsia="Times New Roman" w:hAnsi="Century Gothic"/>
          <w:b/>
          <w:lang w:val="en-GB"/>
        </w:rPr>
      </w:pPr>
      <w:r>
        <w:rPr>
          <w:lang w:val="en-GB"/>
        </w:rPr>
        <w:t>*</w:t>
      </w:r>
      <w:r w:rsidR="00D11B26">
        <w:rPr>
          <w:lang w:val="en-GB"/>
        </w:rPr>
        <w:t>*</w:t>
      </w:r>
      <w:r>
        <w:rPr>
          <w:bCs/>
          <w:i/>
        </w:rPr>
        <w:t>For these specimens, c</w:t>
      </w:r>
      <w:r w:rsidRPr="0062751B">
        <w:rPr>
          <w:bCs/>
          <w:i/>
        </w:rPr>
        <w:t>onsider treating empirically first and then only sending culture in case of empiric treatment failure</w:t>
      </w:r>
      <w:r>
        <w:rPr>
          <w:bCs/>
          <w:i/>
        </w:rPr>
        <w:t xml:space="preserve"> </w:t>
      </w:r>
      <w:r w:rsidR="006C65C5" w:rsidRPr="00BC3AFC">
        <w:rPr>
          <w:lang w:val="en-GB"/>
        </w:rPr>
        <w:br w:type="page"/>
      </w:r>
    </w:p>
    <w:p w:rsidR="00BF4A7B" w:rsidRPr="00BC3AFC" w:rsidRDefault="00BF12B9" w:rsidP="00BF12B9">
      <w:pPr>
        <w:pStyle w:val="Heading1"/>
        <w:rPr>
          <w:lang w:val="en-GB"/>
        </w:rPr>
      </w:pPr>
      <w:r w:rsidRPr="00BC3AFC">
        <w:rPr>
          <w:lang w:val="en-GB"/>
        </w:rPr>
        <w:t>Further details on specific specimen types</w:t>
      </w:r>
    </w:p>
    <w:p w:rsidR="00BF12B9" w:rsidRPr="00BC3AFC" w:rsidRDefault="00BF12B9" w:rsidP="00BF12B9">
      <w:pPr>
        <w:pStyle w:val="Heading2"/>
        <w:rPr>
          <w:lang w:val="en-GB"/>
        </w:rPr>
      </w:pPr>
      <w:r w:rsidRPr="00BC3AFC">
        <w:rPr>
          <w:lang w:val="en-GB"/>
        </w:rPr>
        <w:t>Sterile site specimens</w:t>
      </w:r>
    </w:p>
    <w:p w:rsidR="00BF12B9" w:rsidRPr="00BC3AFC" w:rsidRDefault="00BF12B9" w:rsidP="00BF12B9">
      <w:pPr>
        <w:rPr>
          <w:lang w:val="en-GB"/>
        </w:rPr>
      </w:pPr>
      <w:r w:rsidRPr="00BC3AFC">
        <w:rPr>
          <w:lang w:val="en-GB"/>
        </w:rPr>
        <w:t>Blood, CSF, and fluid from body compartments should be sterile: any growth is considered significant with a few exceptions. The laboratory will identify all organisms to species level where possible and do antimicrobial susceptibility tests on all significant isolates.</w:t>
      </w:r>
    </w:p>
    <w:p w:rsidR="00BF12B9" w:rsidRPr="00BC3AFC" w:rsidRDefault="00BF12B9" w:rsidP="00BF12B9">
      <w:pPr>
        <w:pStyle w:val="Heading3"/>
        <w:rPr>
          <w:lang w:val="en-GB"/>
        </w:rPr>
      </w:pPr>
      <w:r w:rsidRPr="00BC3AFC">
        <w:rPr>
          <w:lang w:val="en-GB"/>
        </w:rPr>
        <w:t>Blood cultures</w:t>
      </w:r>
    </w:p>
    <w:p w:rsidR="002F2468" w:rsidRPr="00BC3AFC" w:rsidRDefault="002F2468" w:rsidP="002F2468">
      <w:pPr>
        <w:rPr>
          <w:lang w:val="en-GB"/>
        </w:rPr>
      </w:pPr>
      <w:r w:rsidRPr="00BC3AFC">
        <w:rPr>
          <w:lang w:val="en-GB"/>
        </w:rPr>
        <w:t>Thorough cleaning of the skin using chlorhexidine-alcohol (with prior washing with soap and water if the skin is visibly dirty)</w:t>
      </w:r>
      <w:r w:rsidR="00D42F35" w:rsidRPr="00BC3AFC">
        <w:rPr>
          <w:lang w:val="en-GB"/>
        </w:rPr>
        <w:t>, allowing the skin to dry after cleaning,</w:t>
      </w:r>
      <w:r w:rsidRPr="00BC3AFC">
        <w:rPr>
          <w:lang w:val="en-GB"/>
        </w:rPr>
        <w:t xml:space="preserve"> and no palpation of the vein following cleaning will minimise the chance of introducing contaminating skin organisms into the blood culture bottle.</w:t>
      </w:r>
    </w:p>
    <w:p w:rsidR="00D42F35" w:rsidRPr="00BC3AFC" w:rsidRDefault="00D42F35" w:rsidP="002F2468">
      <w:pPr>
        <w:rPr>
          <w:lang w:val="en-GB"/>
        </w:rPr>
      </w:pPr>
      <w:r w:rsidRPr="00BC3AFC">
        <w:rPr>
          <w:lang w:val="en-GB"/>
        </w:rPr>
        <w:t>Following removal of the metal cap from the blood culture bottle, the rubber septum should be cleaned with 70% alcohol and allowed to dry.</w:t>
      </w:r>
    </w:p>
    <w:p w:rsidR="00BF12B9" w:rsidRPr="00BC3AFC" w:rsidRDefault="00E62F6D" w:rsidP="00BF12B9">
      <w:pPr>
        <w:rPr>
          <w:lang w:val="en-GB"/>
        </w:rPr>
      </w:pPr>
      <w:r w:rsidRPr="00BC3AFC">
        <w:rPr>
          <w:lang w:val="en-GB"/>
        </w:rPr>
        <w:t xml:space="preserve">The likelihood of detecting a bacteraemia is directly related to the volume of blood inoculated into the culture bottle. A blood to broth ratio of 1:5 to 1:10 is optimal. For the 20ml bottles used at AHC, this translates to 2 – 4 ml of blood per </w:t>
      </w:r>
      <w:r w:rsidR="00676CC9" w:rsidRPr="00BC3AFC">
        <w:rPr>
          <w:lang w:val="en-GB"/>
        </w:rPr>
        <w:t xml:space="preserve">blood culture </w:t>
      </w:r>
      <w:r w:rsidRPr="00BC3AFC">
        <w:rPr>
          <w:lang w:val="en-GB"/>
        </w:rPr>
        <w:t>bottle. Inoculating &lt;1ml of blood is highly likely to result in false negative results.</w:t>
      </w:r>
      <w:r w:rsidR="00D42F35" w:rsidRPr="00BC3AFC">
        <w:rPr>
          <w:lang w:val="en-GB"/>
        </w:rPr>
        <w:t xml:space="preserve"> The blood culture bottle should be inoculated before</w:t>
      </w:r>
      <w:r w:rsidR="00D42F35" w:rsidRPr="00BC3AFC">
        <w:rPr>
          <w:b/>
          <w:i/>
          <w:lang w:val="en-GB"/>
        </w:rPr>
        <w:t xml:space="preserve"> </w:t>
      </w:r>
      <w:r w:rsidR="00D42F35" w:rsidRPr="00BC3AFC">
        <w:rPr>
          <w:lang w:val="en-GB"/>
        </w:rPr>
        <w:t>filling CBC, serum, or other blood tubes (to ensure enough blood is inoculated and to reduce the possibility of contamination).</w:t>
      </w:r>
    </w:p>
    <w:p w:rsidR="00E47CD2" w:rsidRPr="00BC3AFC" w:rsidRDefault="00E47CD2" w:rsidP="00BF12B9">
      <w:pPr>
        <w:rPr>
          <w:lang w:val="en-GB"/>
        </w:rPr>
      </w:pPr>
      <w:r w:rsidRPr="00BC3AFC">
        <w:rPr>
          <w:lang w:val="en-GB"/>
        </w:rPr>
        <w:t>Blood cultures should be transported to the laboratory as soon as possible after collection. If delay</w:t>
      </w:r>
      <w:r w:rsidR="00031722" w:rsidRPr="00BC3AFC">
        <w:rPr>
          <w:lang w:val="en-GB"/>
        </w:rPr>
        <w:t>s occur</w:t>
      </w:r>
      <w:r w:rsidRPr="00BC3AFC">
        <w:rPr>
          <w:lang w:val="en-GB"/>
        </w:rPr>
        <w:t>, the bottle should be kept at room temperature and not</w:t>
      </w:r>
      <w:r w:rsidR="00BC3AFC">
        <w:rPr>
          <w:lang w:val="en-GB"/>
        </w:rPr>
        <w:t xml:space="preserve"> </w:t>
      </w:r>
      <w:r w:rsidRPr="00BC3AFC">
        <w:rPr>
          <w:lang w:val="en-GB"/>
        </w:rPr>
        <w:t>put in the fridge.</w:t>
      </w:r>
    </w:p>
    <w:p w:rsidR="00A008B7" w:rsidRPr="00BC3AFC" w:rsidRDefault="00D42F35" w:rsidP="00A008B7">
      <w:pPr>
        <w:rPr>
          <w:lang w:val="en-GB"/>
        </w:rPr>
      </w:pPr>
      <w:r w:rsidRPr="00BC3AFC">
        <w:rPr>
          <w:lang w:val="en-GB"/>
        </w:rPr>
        <w:t>The laboratory will report all organisms identified in the culture.</w:t>
      </w:r>
      <w:r w:rsidR="00A008B7" w:rsidRPr="00BC3AFC">
        <w:rPr>
          <w:lang w:val="en-GB"/>
        </w:rPr>
        <w:t xml:space="preserve"> It usually takes 24 – 48 hours to issue a final report once a blood culture is recognised as positive, although certain organisms may take longer to fully identify.</w:t>
      </w:r>
    </w:p>
    <w:p w:rsidR="00A008B7" w:rsidRPr="00BC3AFC" w:rsidRDefault="00A008B7" w:rsidP="00A008B7">
      <w:pPr>
        <w:rPr>
          <w:lang w:val="en-GB"/>
        </w:rPr>
      </w:pPr>
      <w:r w:rsidRPr="00BC3AFC">
        <w:rPr>
          <w:lang w:val="en-GB"/>
        </w:rPr>
        <w:t>Final culture results will be released after the day 7 sub-culture (i.e. on day 9, since the sub-culture takes 48 hours before being classed as negative) or as soon as a positive organism is fully identified and antimicrobial susceptibility testing is complete. Interim reports will be issued for the day 1 sub-culture result, day 2 inspection for growth, and as soon as a culture is positive.</w:t>
      </w:r>
    </w:p>
    <w:p w:rsidR="00D42F35" w:rsidRPr="00BC3AFC" w:rsidRDefault="00D42F35" w:rsidP="00BF12B9">
      <w:pPr>
        <w:rPr>
          <w:lang w:val="en-GB"/>
        </w:rPr>
      </w:pPr>
      <w:r w:rsidRPr="00BC3AFC">
        <w:rPr>
          <w:lang w:val="en-GB"/>
        </w:rPr>
        <w:t>All isolates will be considered significant and reported along with antimicrobial susceptibilities with the following exceptions:</w:t>
      </w:r>
    </w:p>
    <w:p w:rsidR="00D42F35" w:rsidRPr="00BC3AFC" w:rsidRDefault="00D42F35" w:rsidP="00D42F35">
      <w:pPr>
        <w:pStyle w:val="ListParagraph"/>
        <w:numPr>
          <w:ilvl w:val="0"/>
          <w:numId w:val="7"/>
        </w:numPr>
        <w:rPr>
          <w:lang w:val="en-GB"/>
        </w:rPr>
      </w:pPr>
      <w:r w:rsidRPr="00BC3AFC">
        <w:rPr>
          <w:lang w:val="en-GB"/>
        </w:rPr>
        <w:t xml:space="preserve">Coagulase negative staphylococci (non-neonates) and most Gram positive bacilli (e.g. </w:t>
      </w:r>
      <w:r w:rsidRPr="00BC3AFC">
        <w:rPr>
          <w:i/>
          <w:lang w:val="en-GB"/>
        </w:rPr>
        <w:t>Corynebacterium</w:t>
      </w:r>
      <w:r w:rsidRPr="00BC3AFC">
        <w:rPr>
          <w:lang w:val="en-GB"/>
        </w:rPr>
        <w:t xml:space="preserve"> spp. and </w:t>
      </w:r>
      <w:r w:rsidRPr="00BC3AFC">
        <w:rPr>
          <w:i/>
          <w:lang w:val="en-GB"/>
        </w:rPr>
        <w:t>Bacillus</w:t>
      </w:r>
      <w:r w:rsidRPr="00BC3AFC">
        <w:rPr>
          <w:lang w:val="en-GB"/>
        </w:rPr>
        <w:t xml:space="preserve"> spp.) will be reported as “probable contaminants: and antimicrobial susceptibilities will not be done</w:t>
      </w:r>
      <w:r w:rsidR="003C084B" w:rsidRPr="00BC3AFC">
        <w:rPr>
          <w:lang w:val="en-GB"/>
        </w:rPr>
        <w:t>.</w:t>
      </w:r>
    </w:p>
    <w:p w:rsidR="00D42F35" w:rsidRPr="00BC3AFC" w:rsidRDefault="00D42F35" w:rsidP="00D42F35">
      <w:pPr>
        <w:pStyle w:val="ListParagraph"/>
        <w:numPr>
          <w:ilvl w:val="0"/>
          <w:numId w:val="7"/>
        </w:numPr>
        <w:rPr>
          <w:lang w:val="en-GB"/>
        </w:rPr>
      </w:pPr>
      <w:r w:rsidRPr="00BC3AFC">
        <w:rPr>
          <w:lang w:val="en-GB"/>
        </w:rPr>
        <w:t xml:space="preserve">Coagulase negative staphylococci, environmental Gram negative organisms (e.g. </w:t>
      </w:r>
      <w:r w:rsidRPr="00BC3AFC">
        <w:rPr>
          <w:i/>
          <w:lang w:val="en-GB"/>
        </w:rPr>
        <w:t xml:space="preserve">Acinetobacter </w:t>
      </w:r>
      <w:r w:rsidRPr="00BC3AFC">
        <w:rPr>
          <w:lang w:val="en-GB"/>
        </w:rPr>
        <w:t>spp.), and yeasts will be reported as “uncertain significance”. In these cases, antimicrobial susceptibilities will be available on request if the organism is judged to be clinically significant</w:t>
      </w:r>
      <w:r w:rsidRPr="00BC3AFC">
        <w:rPr>
          <w:b/>
          <w:i/>
          <w:lang w:val="en-GB"/>
        </w:rPr>
        <w:t xml:space="preserve"> </w:t>
      </w:r>
      <w:r w:rsidRPr="00BC3AFC">
        <w:rPr>
          <w:lang w:val="en-GB"/>
        </w:rPr>
        <w:t>(usually impossible to say without a repeat blood culture)</w:t>
      </w:r>
      <w:r w:rsidR="003C084B" w:rsidRPr="00BC3AFC">
        <w:rPr>
          <w:lang w:val="en-GB"/>
        </w:rPr>
        <w:t>.</w:t>
      </w:r>
    </w:p>
    <w:p w:rsidR="00C2535E" w:rsidRPr="00BC3AFC" w:rsidRDefault="00C2535E" w:rsidP="00C2535E">
      <w:pPr>
        <w:rPr>
          <w:lang w:val="en-GB"/>
        </w:rPr>
      </w:pPr>
      <w:r w:rsidRPr="00BC3AFC">
        <w:rPr>
          <w:lang w:val="en-GB"/>
        </w:rPr>
        <w:t xml:space="preserve">Common significant isolates at AHC include: </w:t>
      </w:r>
      <w:r w:rsidRPr="00BC3AFC">
        <w:rPr>
          <w:i/>
          <w:lang w:val="en-GB"/>
        </w:rPr>
        <w:t xml:space="preserve">Salmonella </w:t>
      </w:r>
      <w:r w:rsidRPr="00BC3AFC">
        <w:rPr>
          <w:lang w:val="en-GB"/>
        </w:rPr>
        <w:t xml:space="preserve">Typhi, </w:t>
      </w:r>
      <w:r w:rsidRPr="00BC3AFC">
        <w:rPr>
          <w:i/>
          <w:lang w:val="en-GB"/>
        </w:rPr>
        <w:t>Streptococcus pneumoniae</w:t>
      </w:r>
      <w:r w:rsidRPr="00BC3AFC">
        <w:rPr>
          <w:lang w:val="en-GB"/>
        </w:rPr>
        <w:t xml:space="preserve">, </w:t>
      </w:r>
      <w:r w:rsidRPr="00BC3AFC">
        <w:rPr>
          <w:i/>
          <w:lang w:val="en-GB"/>
        </w:rPr>
        <w:t xml:space="preserve">Staphylococcus aureus, </w:t>
      </w:r>
      <w:r w:rsidRPr="00BC3AFC">
        <w:rPr>
          <w:lang w:val="en-GB"/>
        </w:rPr>
        <w:t xml:space="preserve">coliforms (e.g. </w:t>
      </w:r>
      <w:r w:rsidRPr="00BC3AFC">
        <w:rPr>
          <w:i/>
          <w:lang w:val="en-GB"/>
        </w:rPr>
        <w:t>Escherichia coli</w:t>
      </w:r>
      <w:r w:rsidRPr="00BC3AFC">
        <w:rPr>
          <w:lang w:val="en-GB"/>
        </w:rPr>
        <w:t xml:space="preserve">, </w:t>
      </w:r>
      <w:r w:rsidRPr="00BC3AFC">
        <w:rPr>
          <w:i/>
          <w:lang w:val="en-GB"/>
        </w:rPr>
        <w:t>Klebsiella pneumoniae</w:t>
      </w:r>
      <w:r w:rsidRPr="00BC3AFC">
        <w:rPr>
          <w:lang w:val="en-GB"/>
        </w:rPr>
        <w:t xml:space="preserve">), </w:t>
      </w:r>
      <w:r w:rsidRPr="00BC3AFC">
        <w:rPr>
          <w:i/>
          <w:lang w:val="en-GB"/>
        </w:rPr>
        <w:t>Burkholderia pseudomallei</w:t>
      </w:r>
      <w:r w:rsidRPr="00BC3AFC">
        <w:rPr>
          <w:lang w:val="en-GB"/>
        </w:rPr>
        <w:t xml:space="preserve">, and beta-haemolytic streptococci (e.g. Group </w:t>
      </w:r>
      <w:proofErr w:type="gramStart"/>
      <w:r w:rsidRPr="00BC3AFC">
        <w:rPr>
          <w:lang w:val="en-GB"/>
        </w:rPr>
        <w:t>A</w:t>
      </w:r>
      <w:proofErr w:type="gramEnd"/>
      <w:r w:rsidRPr="00BC3AFC">
        <w:rPr>
          <w:lang w:val="en-GB"/>
        </w:rPr>
        <w:t xml:space="preserve"> Streptococcus).</w:t>
      </w:r>
    </w:p>
    <w:p w:rsidR="00E94AF2" w:rsidRPr="00BC3AFC" w:rsidRDefault="00E94AF2" w:rsidP="00E94AF2">
      <w:pPr>
        <w:pStyle w:val="Heading3"/>
        <w:rPr>
          <w:lang w:val="en-GB"/>
        </w:rPr>
      </w:pPr>
      <w:r w:rsidRPr="00BC3AFC">
        <w:rPr>
          <w:lang w:val="en-GB"/>
        </w:rPr>
        <w:t>CSF cultures</w:t>
      </w:r>
    </w:p>
    <w:p w:rsidR="00E94AF2" w:rsidRPr="00BC3AFC" w:rsidRDefault="0091209A" w:rsidP="00E94AF2">
      <w:pPr>
        <w:rPr>
          <w:lang w:val="en-GB"/>
        </w:rPr>
      </w:pPr>
      <w:r>
        <w:rPr>
          <w:lang w:val="en-GB"/>
        </w:rPr>
        <w:t>The correct volume to send to the laboratory is noted in the table below. In all cases, a</w:t>
      </w:r>
      <w:r w:rsidR="00BA1A27" w:rsidRPr="00BC3AFC">
        <w:rPr>
          <w:lang w:val="en-GB"/>
        </w:rPr>
        <w:t>t least 1ml</w:t>
      </w:r>
      <w:r w:rsidRPr="0091209A">
        <w:rPr>
          <w:lang w:val="en-GB"/>
        </w:rPr>
        <w:t xml:space="preserve"> </w:t>
      </w:r>
      <w:r w:rsidRPr="00BC3AFC">
        <w:rPr>
          <w:lang w:val="en-GB"/>
        </w:rPr>
        <w:t>of CSF</w:t>
      </w:r>
      <w:r>
        <w:rPr>
          <w:lang w:val="en-GB"/>
        </w:rPr>
        <w:t>, and preferably more,</w:t>
      </w:r>
      <w:r w:rsidR="00BA1A27" w:rsidRPr="00BC3AFC">
        <w:rPr>
          <w:lang w:val="en-GB"/>
        </w:rPr>
        <w:t xml:space="preserve"> </w:t>
      </w:r>
      <w:r w:rsidR="00E94AF2" w:rsidRPr="00BC3AFC">
        <w:rPr>
          <w:lang w:val="en-GB"/>
        </w:rPr>
        <w:t>should be collected into three sterile containers following thorough decontamination of the skin.</w:t>
      </w:r>
      <w:r w:rsidR="003C084B" w:rsidRPr="00BC3AFC">
        <w:rPr>
          <w:lang w:val="en-GB"/>
        </w:rPr>
        <w:t xml:space="preserve"> A blood glucose measurement should be obtained at the same time as the lumbar puncture.</w:t>
      </w:r>
    </w:p>
    <w:p w:rsidR="00BA1A27" w:rsidRPr="00BC3AFC" w:rsidRDefault="00E94AF2" w:rsidP="00E94AF2">
      <w:pPr>
        <w:rPr>
          <w:lang w:val="en-GB"/>
        </w:rPr>
      </w:pPr>
      <w:r w:rsidRPr="00BC3AFC">
        <w:rPr>
          <w:lang w:val="en-GB"/>
        </w:rPr>
        <w:t>The volume of CSF collected is important: larger volumes of CSF allow all lab tests to be done as well as possible (protein, glucose, Gram stain, culture, +/- JEV surveillance). It is particularly important to take large vo</w:t>
      </w:r>
      <w:r w:rsidR="00676CC9" w:rsidRPr="00BC3AFC">
        <w:rPr>
          <w:lang w:val="en-GB"/>
        </w:rPr>
        <w:t xml:space="preserve">lume of CSF if TB is suspected: </w:t>
      </w:r>
      <w:r w:rsidRPr="00BC3AFC">
        <w:rPr>
          <w:lang w:val="en-GB"/>
        </w:rPr>
        <w:t xml:space="preserve">it may be necessary to repeat the LP if TB becomes a likely diagnosis only after </w:t>
      </w:r>
      <w:r w:rsidR="00676CC9" w:rsidRPr="00BC3AFC">
        <w:rPr>
          <w:lang w:val="en-GB"/>
        </w:rPr>
        <w:t>the first specimen is collected</w:t>
      </w:r>
      <w:r w:rsidRPr="00BC3AFC">
        <w:rPr>
          <w:lang w:val="en-GB"/>
        </w:rPr>
        <w:t>. It is safe to take &gt;1ml of CSF in all age groups</w:t>
      </w:r>
      <w:r w:rsidRPr="00BC3AFC">
        <w:rPr>
          <w:b/>
          <w:lang w:val="en-GB"/>
        </w:rPr>
        <w:t xml:space="preserve"> </w:t>
      </w:r>
      <w:r w:rsidRPr="00BC3AFC">
        <w:rPr>
          <w:lang w:val="en-GB"/>
        </w:rPr>
        <w:t>(</w:t>
      </w:r>
      <w:proofErr w:type="spellStart"/>
      <w:r w:rsidR="00421116" w:rsidRPr="00BC3AFC">
        <w:rPr>
          <w:lang w:val="en-GB"/>
        </w:rPr>
        <w:t>Thwaites</w:t>
      </w:r>
      <w:proofErr w:type="spellEnd"/>
      <w:r w:rsidR="00421116" w:rsidRPr="00BC3AFC">
        <w:rPr>
          <w:lang w:val="en-GB"/>
        </w:rPr>
        <w:t xml:space="preserve"> et al. Journal of Infection (2009) 59, 167-187; </w:t>
      </w:r>
      <w:r w:rsidRPr="00BC3AFC">
        <w:rPr>
          <w:lang w:val="en-GB"/>
        </w:rPr>
        <w:t>see table below).</w:t>
      </w:r>
    </w:p>
    <w:p w:rsidR="0042019A" w:rsidRPr="00BC3AFC" w:rsidRDefault="0042019A" w:rsidP="00A45A3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25"/>
        <w:gridCol w:w="2002"/>
        <w:gridCol w:w="2374"/>
      </w:tblGrid>
      <w:tr w:rsidR="0091209A" w:rsidRPr="00BC3AFC" w:rsidTr="0091209A">
        <w:tc>
          <w:tcPr>
            <w:tcW w:w="2547" w:type="dxa"/>
            <w:shd w:val="clear" w:color="auto" w:fill="BFBFBF" w:themeFill="background1" w:themeFillShade="BF"/>
            <w:vAlign w:val="center"/>
          </w:tcPr>
          <w:p w:rsidR="0091209A" w:rsidRPr="00BC3AFC" w:rsidRDefault="0091209A" w:rsidP="00963EC6">
            <w:pPr>
              <w:spacing w:after="0"/>
              <w:jc w:val="left"/>
              <w:rPr>
                <w:b/>
                <w:sz w:val="22"/>
                <w:szCs w:val="22"/>
                <w:lang w:val="en-GB"/>
              </w:rPr>
            </w:pPr>
            <w:r w:rsidRPr="00BC3AFC">
              <w:rPr>
                <w:b/>
                <w:sz w:val="22"/>
                <w:szCs w:val="22"/>
                <w:lang w:val="en-GB"/>
              </w:rPr>
              <w:t>Age group</w:t>
            </w:r>
          </w:p>
        </w:tc>
        <w:tc>
          <w:tcPr>
            <w:tcW w:w="1825" w:type="dxa"/>
            <w:shd w:val="clear" w:color="auto" w:fill="BFBFBF" w:themeFill="background1" w:themeFillShade="BF"/>
          </w:tcPr>
          <w:p w:rsidR="0091209A" w:rsidRPr="00BC3AFC" w:rsidRDefault="0091209A" w:rsidP="00963EC6">
            <w:pPr>
              <w:spacing w:after="0"/>
              <w:jc w:val="left"/>
              <w:rPr>
                <w:b/>
                <w:sz w:val="22"/>
                <w:szCs w:val="22"/>
                <w:lang w:val="en-GB"/>
              </w:rPr>
            </w:pPr>
            <w:r>
              <w:rPr>
                <w:b/>
                <w:sz w:val="22"/>
                <w:szCs w:val="22"/>
                <w:lang w:val="en-GB"/>
              </w:rPr>
              <w:t>Routine CSF volume (ml)</w:t>
            </w:r>
          </w:p>
        </w:tc>
        <w:tc>
          <w:tcPr>
            <w:tcW w:w="2002" w:type="dxa"/>
            <w:shd w:val="clear" w:color="auto" w:fill="BFBFBF" w:themeFill="background1" w:themeFillShade="BF"/>
            <w:vAlign w:val="center"/>
          </w:tcPr>
          <w:p w:rsidR="0091209A" w:rsidRPr="00BC3AFC" w:rsidRDefault="0091209A" w:rsidP="00963EC6">
            <w:pPr>
              <w:spacing w:after="0"/>
              <w:jc w:val="left"/>
              <w:rPr>
                <w:b/>
                <w:sz w:val="22"/>
                <w:szCs w:val="22"/>
                <w:lang w:val="en-GB"/>
              </w:rPr>
            </w:pPr>
            <w:r w:rsidRPr="00BC3AFC">
              <w:rPr>
                <w:b/>
                <w:sz w:val="22"/>
                <w:szCs w:val="22"/>
                <w:lang w:val="en-GB"/>
              </w:rPr>
              <w:t>Safe CSF volume (ml)</w:t>
            </w:r>
          </w:p>
        </w:tc>
        <w:tc>
          <w:tcPr>
            <w:tcW w:w="2374" w:type="dxa"/>
            <w:shd w:val="clear" w:color="auto" w:fill="BFBFBF" w:themeFill="background1" w:themeFillShade="BF"/>
            <w:vAlign w:val="center"/>
          </w:tcPr>
          <w:p w:rsidR="0091209A" w:rsidRPr="00BC3AFC" w:rsidRDefault="0091209A" w:rsidP="00963EC6">
            <w:pPr>
              <w:spacing w:after="0"/>
              <w:jc w:val="left"/>
              <w:rPr>
                <w:b/>
                <w:sz w:val="22"/>
                <w:szCs w:val="22"/>
                <w:lang w:val="en-GB"/>
              </w:rPr>
            </w:pPr>
            <w:r w:rsidRPr="00BC3AFC">
              <w:rPr>
                <w:b/>
                <w:sz w:val="22"/>
                <w:szCs w:val="22"/>
                <w:lang w:val="en-GB"/>
              </w:rPr>
              <w:t>Safe CSF volume (drops)</w:t>
            </w:r>
          </w:p>
          <w:p w:rsidR="0091209A" w:rsidRPr="00BC3AFC" w:rsidRDefault="0091209A" w:rsidP="00963EC6">
            <w:pPr>
              <w:spacing w:after="0"/>
              <w:jc w:val="left"/>
              <w:rPr>
                <w:b/>
                <w:sz w:val="22"/>
                <w:szCs w:val="22"/>
                <w:lang w:val="en-GB"/>
              </w:rPr>
            </w:pPr>
            <w:r w:rsidRPr="00BC3AFC">
              <w:rPr>
                <w:b/>
                <w:sz w:val="22"/>
                <w:szCs w:val="22"/>
                <w:lang w:val="en-GB"/>
              </w:rPr>
              <w:t>[1 drop ~ 50-60 µl]</w:t>
            </w:r>
          </w:p>
        </w:tc>
      </w:tr>
      <w:tr w:rsidR="0091209A" w:rsidRPr="00BC3AFC" w:rsidTr="008354A0">
        <w:trPr>
          <w:trHeight w:val="458"/>
        </w:trPr>
        <w:tc>
          <w:tcPr>
            <w:tcW w:w="2547" w:type="dxa"/>
            <w:shd w:val="clear" w:color="auto" w:fill="auto"/>
            <w:vAlign w:val="center"/>
          </w:tcPr>
          <w:p w:rsidR="0091209A" w:rsidRPr="00BC3AFC" w:rsidRDefault="0091209A" w:rsidP="00963EC6">
            <w:pPr>
              <w:spacing w:after="0"/>
              <w:jc w:val="left"/>
              <w:rPr>
                <w:sz w:val="22"/>
                <w:szCs w:val="22"/>
                <w:lang w:val="en-GB"/>
              </w:rPr>
            </w:pPr>
            <w:r w:rsidRPr="00BC3AFC">
              <w:rPr>
                <w:sz w:val="22"/>
                <w:szCs w:val="22"/>
                <w:lang w:val="en-GB"/>
              </w:rPr>
              <w:t>Term neonate &lt;1 month</w:t>
            </w:r>
          </w:p>
        </w:tc>
        <w:tc>
          <w:tcPr>
            <w:tcW w:w="1825" w:type="dxa"/>
            <w:vAlign w:val="center"/>
          </w:tcPr>
          <w:p w:rsidR="0091209A" w:rsidRPr="00BC3AFC" w:rsidRDefault="0091209A" w:rsidP="008354A0">
            <w:pPr>
              <w:spacing w:after="0"/>
              <w:jc w:val="left"/>
              <w:rPr>
                <w:sz w:val="22"/>
                <w:szCs w:val="22"/>
                <w:lang w:val="en-GB"/>
              </w:rPr>
            </w:pPr>
            <w:r>
              <w:rPr>
                <w:sz w:val="22"/>
                <w:szCs w:val="22"/>
                <w:lang w:val="en-GB"/>
              </w:rPr>
              <w:t>1-2</w:t>
            </w:r>
          </w:p>
        </w:tc>
        <w:tc>
          <w:tcPr>
            <w:tcW w:w="2002" w:type="dxa"/>
            <w:shd w:val="clear" w:color="auto" w:fill="auto"/>
            <w:vAlign w:val="center"/>
          </w:tcPr>
          <w:p w:rsidR="0091209A" w:rsidRPr="00BC3AFC" w:rsidRDefault="0091209A" w:rsidP="00963EC6">
            <w:pPr>
              <w:spacing w:after="0"/>
              <w:jc w:val="left"/>
              <w:rPr>
                <w:sz w:val="22"/>
                <w:szCs w:val="22"/>
                <w:lang w:val="en-GB"/>
              </w:rPr>
            </w:pPr>
            <w:r w:rsidRPr="00BC3AFC">
              <w:rPr>
                <w:sz w:val="22"/>
                <w:szCs w:val="22"/>
                <w:lang w:val="en-GB"/>
              </w:rPr>
              <w:t>2-4</w:t>
            </w:r>
          </w:p>
        </w:tc>
        <w:tc>
          <w:tcPr>
            <w:tcW w:w="2374" w:type="dxa"/>
            <w:shd w:val="clear" w:color="auto" w:fill="auto"/>
            <w:vAlign w:val="center"/>
          </w:tcPr>
          <w:p w:rsidR="0091209A" w:rsidRPr="00BC3AFC" w:rsidRDefault="0091209A" w:rsidP="00963EC6">
            <w:pPr>
              <w:spacing w:after="0"/>
              <w:jc w:val="left"/>
              <w:rPr>
                <w:sz w:val="22"/>
                <w:szCs w:val="22"/>
                <w:lang w:val="en-GB"/>
              </w:rPr>
            </w:pPr>
            <w:r w:rsidRPr="00BC3AFC">
              <w:rPr>
                <w:sz w:val="22"/>
                <w:szCs w:val="22"/>
                <w:lang w:val="en-GB"/>
              </w:rPr>
              <w:t>50 drops</w:t>
            </w:r>
          </w:p>
        </w:tc>
      </w:tr>
      <w:tr w:rsidR="0091209A" w:rsidRPr="00BC3AFC" w:rsidTr="008354A0">
        <w:trPr>
          <w:trHeight w:val="422"/>
        </w:trPr>
        <w:tc>
          <w:tcPr>
            <w:tcW w:w="2547" w:type="dxa"/>
            <w:shd w:val="clear" w:color="auto" w:fill="auto"/>
            <w:vAlign w:val="center"/>
          </w:tcPr>
          <w:p w:rsidR="0091209A" w:rsidRPr="00BC3AFC" w:rsidRDefault="0091209A" w:rsidP="00963EC6">
            <w:pPr>
              <w:spacing w:after="0"/>
              <w:jc w:val="left"/>
              <w:rPr>
                <w:sz w:val="22"/>
                <w:szCs w:val="22"/>
                <w:lang w:val="en-GB"/>
              </w:rPr>
            </w:pPr>
            <w:r w:rsidRPr="00BC3AFC">
              <w:rPr>
                <w:sz w:val="22"/>
                <w:szCs w:val="22"/>
                <w:lang w:val="en-GB"/>
              </w:rPr>
              <w:t>Infant 1 month-1 year</w:t>
            </w:r>
          </w:p>
        </w:tc>
        <w:tc>
          <w:tcPr>
            <w:tcW w:w="1825" w:type="dxa"/>
            <w:vAlign w:val="center"/>
          </w:tcPr>
          <w:p w:rsidR="0091209A" w:rsidRPr="00BC3AFC" w:rsidRDefault="0091209A" w:rsidP="008354A0">
            <w:pPr>
              <w:spacing w:after="0"/>
              <w:jc w:val="left"/>
              <w:rPr>
                <w:sz w:val="22"/>
                <w:szCs w:val="22"/>
                <w:lang w:val="en-GB"/>
              </w:rPr>
            </w:pPr>
            <w:r>
              <w:rPr>
                <w:sz w:val="22"/>
                <w:szCs w:val="22"/>
                <w:lang w:val="en-GB"/>
              </w:rPr>
              <w:t>3</w:t>
            </w:r>
          </w:p>
        </w:tc>
        <w:tc>
          <w:tcPr>
            <w:tcW w:w="2002" w:type="dxa"/>
            <w:shd w:val="clear" w:color="auto" w:fill="auto"/>
            <w:vAlign w:val="center"/>
          </w:tcPr>
          <w:p w:rsidR="0091209A" w:rsidRPr="00BC3AFC" w:rsidRDefault="0091209A" w:rsidP="00963EC6">
            <w:pPr>
              <w:spacing w:after="0"/>
              <w:jc w:val="left"/>
              <w:rPr>
                <w:sz w:val="22"/>
                <w:szCs w:val="22"/>
                <w:lang w:val="en-GB"/>
              </w:rPr>
            </w:pPr>
            <w:r w:rsidRPr="00BC3AFC">
              <w:rPr>
                <w:sz w:val="22"/>
                <w:szCs w:val="22"/>
                <w:lang w:val="en-GB"/>
              </w:rPr>
              <w:t>6-9</w:t>
            </w:r>
          </w:p>
        </w:tc>
        <w:tc>
          <w:tcPr>
            <w:tcW w:w="2374" w:type="dxa"/>
            <w:shd w:val="clear" w:color="auto" w:fill="auto"/>
            <w:vAlign w:val="center"/>
          </w:tcPr>
          <w:p w:rsidR="0091209A" w:rsidRPr="00BC3AFC" w:rsidRDefault="0091209A" w:rsidP="00963EC6">
            <w:pPr>
              <w:spacing w:after="0"/>
              <w:jc w:val="left"/>
              <w:rPr>
                <w:sz w:val="22"/>
                <w:szCs w:val="22"/>
                <w:lang w:val="en-GB"/>
              </w:rPr>
            </w:pPr>
            <w:r w:rsidRPr="00BC3AFC">
              <w:rPr>
                <w:sz w:val="22"/>
                <w:szCs w:val="22"/>
                <w:lang w:val="en-GB"/>
              </w:rPr>
              <w:t>100-150 drops</w:t>
            </w:r>
          </w:p>
        </w:tc>
      </w:tr>
      <w:tr w:rsidR="0091209A" w:rsidRPr="00BC3AFC" w:rsidTr="008354A0">
        <w:trPr>
          <w:trHeight w:val="440"/>
        </w:trPr>
        <w:tc>
          <w:tcPr>
            <w:tcW w:w="2547" w:type="dxa"/>
            <w:shd w:val="clear" w:color="auto" w:fill="auto"/>
            <w:vAlign w:val="center"/>
          </w:tcPr>
          <w:p w:rsidR="0091209A" w:rsidRPr="00BC3AFC" w:rsidRDefault="0091209A" w:rsidP="00963EC6">
            <w:pPr>
              <w:spacing w:after="0"/>
              <w:jc w:val="left"/>
              <w:rPr>
                <w:sz w:val="22"/>
                <w:szCs w:val="22"/>
                <w:lang w:val="en-GB"/>
              </w:rPr>
            </w:pPr>
            <w:r w:rsidRPr="00BC3AFC">
              <w:rPr>
                <w:sz w:val="22"/>
                <w:szCs w:val="22"/>
                <w:lang w:val="en-GB"/>
              </w:rPr>
              <w:t>&gt;1 year-old</w:t>
            </w:r>
          </w:p>
        </w:tc>
        <w:tc>
          <w:tcPr>
            <w:tcW w:w="1825" w:type="dxa"/>
            <w:vAlign w:val="center"/>
          </w:tcPr>
          <w:p w:rsidR="0091209A" w:rsidRPr="00BC3AFC" w:rsidRDefault="0091209A" w:rsidP="008354A0">
            <w:pPr>
              <w:spacing w:after="0"/>
              <w:jc w:val="left"/>
              <w:rPr>
                <w:sz w:val="22"/>
                <w:szCs w:val="22"/>
                <w:lang w:val="en-GB"/>
              </w:rPr>
            </w:pPr>
            <w:r>
              <w:rPr>
                <w:sz w:val="22"/>
                <w:szCs w:val="22"/>
                <w:lang w:val="en-GB"/>
              </w:rPr>
              <w:t>4</w:t>
            </w:r>
          </w:p>
        </w:tc>
        <w:tc>
          <w:tcPr>
            <w:tcW w:w="2002" w:type="dxa"/>
            <w:shd w:val="clear" w:color="auto" w:fill="auto"/>
            <w:vAlign w:val="center"/>
          </w:tcPr>
          <w:p w:rsidR="0091209A" w:rsidRPr="00BC3AFC" w:rsidRDefault="0091209A" w:rsidP="00963EC6">
            <w:pPr>
              <w:spacing w:after="0"/>
              <w:jc w:val="left"/>
              <w:rPr>
                <w:sz w:val="22"/>
                <w:szCs w:val="22"/>
                <w:lang w:val="en-GB"/>
              </w:rPr>
            </w:pPr>
            <w:r w:rsidRPr="00BC3AFC">
              <w:rPr>
                <w:sz w:val="22"/>
                <w:szCs w:val="22"/>
                <w:lang w:val="en-GB"/>
              </w:rPr>
              <w:t>8-11</w:t>
            </w:r>
          </w:p>
        </w:tc>
        <w:tc>
          <w:tcPr>
            <w:tcW w:w="2374" w:type="dxa"/>
            <w:shd w:val="clear" w:color="auto" w:fill="auto"/>
            <w:vAlign w:val="center"/>
          </w:tcPr>
          <w:p w:rsidR="0091209A" w:rsidRPr="00BC3AFC" w:rsidRDefault="0091209A" w:rsidP="00963EC6">
            <w:pPr>
              <w:spacing w:after="0"/>
              <w:jc w:val="left"/>
              <w:rPr>
                <w:sz w:val="22"/>
                <w:szCs w:val="22"/>
                <w:lang w:val="en-GB"/>
              </w:rPr>
            </w:pPr>
            <w:r w:rsidRPr="00BC3AFC">
              <w:rPr>
                <w:sz w:val="22"/>
                <w:szCs w:val="22"/>
                <w:lang w:val="en-GB"/>
              </w:rPr>
              <w:t>130-180 drops</w:t>
            </w:r>
          </w:p>
        </w:tc>
      </w:tr>
    </w:tbl>
    <w:p w:rsidR="00A45A3E" w:rsidRPr="00BC3AFC" w:rsidRDefault="00A45A3E" w:rsidP="00E94AF2">
      <w:pPr>
        <w:rPr>
          <w:lang w:val="en-GB"/>
        </w:rPr>
      </w:pPr>
    </w:p>
    <w:p w:rsidR="0042019A" w:rsidRPr="00BC3AFC" w:rsidRDefault="0042019A" w:rsidP="00E94AF2">
      <w:pPr>
        <w:rPr>
          <w:lang w:val="en-GB"/>
        </w:rPr>
      </w:pPr>
      <w:r w:rsidRPr="00BC3AFC">
        <w:rPr>
          <w:lang w:val="en-GB"/>
        </w:rPr>
        <w:t>CSF should be transported to the laboratory as soon as possible after collection, to ensure specimen integrity.</w:t>
      </w:r>
    </w:p>
    <w:p w:rsidR="00E94AF2" w:rsidRPr="00BC3AFC" w:rsidRDefault="00BA1A27" w:rsidP="00E94AF2">
      <w:pPr>
        <w:rPr>
          <w:lang w:val="en-GB"/>
        </w:rPr>
      </w:pPr>
      <w:r w:rsidRPr="00BC3AFC">
        <w:rPr>
          <w:lang w:val="en-GB"/>
        </w:rPr>
        <w:t xml:space="preserve">Routinely the CSF specimen </w:t>
      </w:r>
      <w:r w:rsidR="00676CC9" w:rsidRPr="00BC3AFC">
        <w:rPr>
          <w:lang w:val="en-GB"/>
        </w:rPr>
        <w:t>will undergo</w:t>
      </w:r>
      <w:r w:rsidRPr="00BC3AFC">
        <w:rPr>
          <w:lang w:val="en-GB"/>
        </w:rPr>
        <w:t xml:space="preserve"> glucose and protein estimation (main lab), Gram stain, and culture. ZN stain and TB GeneXpert are available on request, but the chance of these being positive is very dependent on the volume of CSF collected: these tests should not be requested routinely on all CSF specimens.</w:t>
      </w:r>
    </w:p>
    <w:p w:rsidR="00C2535E" w:rsidRPr="00BC3AFC" w:rsidRDefault="00C2535E" w:rsidP="00E94AF2">
      <w:pPr>
        <w:rPr>
          <w:lang w:val="en-GB"/>
        </w:rPr>
      </w:pPr>
      <w:r w:rsidRPr="00BC3AFC">
        <w:rPr>
          <w:lang w:val="en-GB"/>
        </w:rPr>
        <w:t>All organisms will be identified. Important pathogens are age-specific:</w:t>
      </w:r>
    </w:p>
    <w:p w:rsidR="00C2535E" w:rsidRPr="00BC3AFC" w:rsidRDefault="00C2535E" w:rsidP="00C2535E">
      <w:pPr>
        <w:pStyle w:val="ListParagraph"/>
        <w:numPr>
          <w:ilvl w:val="0"/>
          <w:numId w:val="8"/>
        </w:numPr>
        <w:rPr>
          <w:b/>
          <w:bCs/>
          <w:szCs w:val="24"/>
          <w:lang w:val="en-GB"/>
        </w:rPr>
      </w:pPr>
      <w:r w:rsidRPr="00BC3AFC">
        <w:rPr>
          <w:b/>
          <w:bCs/>
          <w:szCs w:val="24"/>
          <w:lang w:val="en-GB"/>
        </w:rPr>
        <w:t>&lt;2 months of age</w:t>
      </w:r>
    </w:p>
    <w:p w:rsidR="00C2535E" w:rsidRPr="00BC3AFC" w:rsidRDefault="00C2535E" w:rsidP="00C2535E">
      <w:pPr>
        <w:pStyle w:val="ListParagraph"/>
        <w:numPr>
          <w:ilvl w:val="1"/>
          <w:numId w:val="8"/>
        </w:numPr>
        <w:jc w:val="left"/>
        <w:rPr>
          <w:szCs w:val="24"/>
          <w:lang w:val="en-GB"/>
        </w:rPr>
      </w:pPr>
      <w:r w:rsidRPr="00BC3AFC">
        <w:rPr>
          <w:szCs w:val="24"/>
          <w:lang w:val="en-GB"/>
        </w:rPr>
        <w:t>Group B streptococcus</w:t>
      </w:r>
    </w:p>
    <w:p w:rsidR="00C2535E" w:rsidRPr="00BC3AFC" w:rsidRDefault="00C2535E" w:rsidP="00C2535E">
      <w:pPr>
        <w:pStyle w:val="ListParagraph"/>
        <w:numPr>
          <w:ilvl w:val="1"/>
          <w:numId w:val="8"/>
        </w:numPr>
        <w:jc w:val="left"/>
        <w:rPr>
          <w:i/>
          <w:iCs/>
          <w:szCs w:val="24"/>
          <w:lang w:val="en-GB"/>
        </w:rPr>
      </w:pPr>
      <w:r w:rsidRPr="00BC3AFC">
        <w:rPr>
          <w:i/>
          <w:iCs/>
          <w:szCs w:val="24"/>
          <w:lang w:val="en-GB"/>
        </w:rPr>
        <w:t>Escherichia coli</w:t>
      </w:r>
    </w:p>
    <w:p w:rsidR="00C2535E" w:rsidRPr="00BC3AFC" w:rsidRDefault="00C2535E" w:rsidP="00C2535E">
      <w:pPr>
        <w:pStyle w:val="ListParagraph"/>
        <w:numPr>
          <w:ilvl w:val="1"/>
          <w:numId w:val="8"/>
        </w:numPr>
        <w:jc w:val="left"/>
        <w:rPr>
          <w:i/>
          <w:iCs/>
          <w:szCs w:val="24"/>
          <w:lang w:val="en-GB"/>
        </w:rPr>
      </w:pPr>
      <w:r w:rsidRPr="00BC3AFC">
        <w:rPr>
          <w:i/>
          <w:iCs/>
          <w:szCs w:val="24"/>
          <w:lang w:val="en-GB"/>
        </w:rPr>
        <w:t>O</w:t>
      </w:r>
      <w:r w:rsidRPr="00BC3AFC">
        <w:rPr>
          <w:szCs w:val="24"/>
          <w:lang w:val="en-GB"/>
        </w:rPr>
        <w:t xml:space="preserve">ther coliforms (e.g. </w:t>
      </w:r>
      <w:r w:rsidRPr="00BC3AFC">
        <w:rPr>
          <w:i/>
          <w:szCs w:val="24"/>
          <w:lang w:val="en-GB"/>
        </w:rPr>
        <w:t>Klebsiella pneumoniae)</w:t>
      </w:r>
    </w:p>
    <w:p w:rsidR="00C2535E" w:rsidRPr="00BC3AFC" w:rsidRDefault="00C2535E" w:rsidP="00C2535E">
      <w:pPr>
        <w:pStyle w:val="ListParagraph"/>
        <w:numPr>
          <w:ilvl w:val="1"/>
          <w:numId w:val="8"/>
        </w:numPr>
        <w:rPr>
          <w:i/>
          <w:iCs/>
          <w:szCs w:val="24"/>
          <w:lang w:val="en-GB"/>
        </w:rPr>
      </w:pPr>
      <w:r w:rsidRPr="00BC3AFC">
        <w:rPr>
          <w:i/>
          <w:iCs/>
          <w:szCs w:val="24"/>
          <w:lang w:val="en-GB"/>
        </w:rPr>
        <w:t>Listeria monocytogenes</w:t>
      </w:r>
    </w:p>
    <w:p w:rsidR="00C2535E" w:rsidRPr="00BC3AFC" w:rsidRDefault="00C2535E" w:rsidP="00C2535E">
      <w:pPr>
        <w:pStyle w:val="ListParagraph"/>
        <w:numPr>
          <w:ilvl w:val="0"/>
          <w:numId w:val="8"/>
        </w:numPr>
        <w:rPr>
          <w:b/>
          <w:bCs/>
          <w:szCs w:val="24"/>
          <w:lang w:val="en-GB"/>
        </w:rPr>
      </w:pPr>
      <w:r w:rsidRPr="00BC3AFC">
        <w:rPr>
          <w:b/>
          <w:bCs/>
          <w:szCs w:val="24"/>
          <w:lang w:val="en-GB"/>
        </w:rPr>
        <w:t>≥2 months</w:t>
      </w:r>
    </w:p>
    <w:p w:rsidR="00C2535E" w:rsidRPr="00BC3AFC" w:rsidRDefault="00C2535E" w:rsidP="00C2535E">
      <w:pPr>
        <w:pStyle w:val="ListParagraph"/>
        <w:numPr>
          <w:ilvl w:val="1"/>
          <w:numId w:val="8"/>
        </w:numPr>
        <w:jc w:val="left"/>
        <w:rPr>
          <w:i/>
          <w:szCs w:val="24"/>
          <w:lang w:val="en-GB"/>
        </w:rPr>
      </w:pPr>
      <w:r w:rsidRPr="00BC3AFC">
        <w:rPr>
          <w:i/>
          <w:szCs w:val="24"/>
          <w:lang w:val="en-GB"/>
        </w:rPr>
        <w:t xml:space="preserve">Haemophilus influenzae </w:t>
      </w:r>
      <w:r w:rsidRPr="00BC3AFC">
        <w:rPr>
          <w:szCs w:val="24"/>
          <w:lang w:val="en-GB"/>
        </w:rPr>
        <w:t>(type B)</w:t>
      </w:r>
    </w:p>
    <w:p w:rsidR="00C2535E" w:rsidRPr="00BC3AFC" w:rsidRDefault="00C2535E" w:rsidP="00C2535E">
      <w:pPr>
        <w:pStyle w:val="ListParagraph"/>
        <w:numPr>
          <w:ilvl w:val="1"/>
          <w:numId w:val="8"/>
        </w:numPr>
        <w:rPr>
          <w:i/>
          <w:iCs/>
          <w:szCs w:val="24"/>
          <w:lang w:val="en-GB"/>
        </w:rPr>
      </w:pPr>
      <w:r w:rsidRPr="00BC3AFC">
        <w:rPr>
          <w:i/>
          <w:iCs/>
          <w:szCs w:val="24"/>
          <w:lang w:val="en-GB"/>
        </w:rPr>
        <w:t>Neisseria meningitidis</w:t>
      </w:r>
    </w:p>
    <w:p w:rsidR="00C2535E" w:rsidRPr="00BC3AFC" w:rsidRDefault="00C2535E" w:rsidP="00C2535E">
      <w:pPr>
        <w:pStyle w:val="ListParagraph"/>
        <w:numPr>
          <w:ilvl w:val="1"/>
          <w:numId w:val="8"/>
        </w:numPr>
        <w:rPr>
          <w:i/>
          <w:iCs/>
          <w:szCs w:val="24"/>
          <w:lang w:val="en-GB"/>
        </w:rPr>
      </w:pPr>
      <w:r w:rsidRPr="00BC3AFC">
        <w:rPr>
          <w:i/>
          <w:iCs/>
          <w:szCs w:val="24"/>
          <w:lang w:val="en-GB"/>
        </w:rPr>
        <w:t>Streptococcus pneumoniae</w:t>
      </w:r>
    </w:p>
    <w:p w:rsidR="00C2535E" w:rsidRPr="00BC3AFC" w:rsidRDefault="00C2535E" w:rsidP="00C2535E">
      <w:pPr>
        <w:pStyle w:val="ListParagraph"/>
        <w:numPr>
          <w:ilvl w:val="1"/>
          <w:numId w:val="8"/>
        </w:numPr>
        <w:rPr>
          <w:i/>
          <w:iCs/>
          <w:szCs w:val="24"/>
          <w:lang w:val="en-GB"/>
        </w:rPr>
      </w:pPr>
      <w:r w:rsidRPr="00BC3AFC">
        <w:rPr>
          <w:i/>
          <w:iCs/>
          <w:szCs w:val="24"/>
          <w:lang w:val="en-GB"/>
        </w:rPr>
        <w:t>Streptococcus suis</w:t>
      </w:r>
    </w:p>
    <w:p w:rsidR="00C2535E" w:rsidRPr="00BC3AFC" w:rsidRDefault="00C2535E" w:rsidP="00C2535E">
      <w:pPr>
        <w:pStyle w:val="ListParagraph"/>
        <w:numPr>
          <w:ilvl w:val="0"/>
          <w:numId w:val="8"/>
        </w:numPr>
        <w:rPr>
          <w:b/>
          <w:bCs/>
          <w:szCs w:val="24"/>
          <w:lang w:val="en-GB"/>
        </w:rPr>
      </w:pPr>
      <w:r w:rsidRPr="00BC3AFC">
        <w:rPr>
          <w:b/>
          <w:bCs/>
          <w:szCs w:val="24"/>
          <w:lang w:val="en-GB"/>
        </w:rPr>
        <w:t>Others</w:t>
      </w:r>
    </w:p>
    <w:p w:rsidR="00C2535E" w:rsidRPr="00BC3AFC" w:rsidRDefault="00C2535E" w:rsidP="00C2535E">
      <w:pPr>
        <w:pStyle w:val="ListParagraph"/>
        <w:numPr>
          <w:ilvl w:val="1"/>
          <w:numId w:val="8"/>
        </w:numPr>
        <w:rPr>
          <w:szCs w:val="24"/>
          <w:lang w:val="en-GB"/>
        </w:rPr>
      </w:pPr>
      <w:r w:rsidRPr="00BC3AFC">
        <w:rPr>
          <w:i/>
          <w:szCs w:val="24"/>
          <w:lang w:val="en-GB"/>
        </w:rPr>
        <w:t>Cryptococcus neoformans</w:t>
      </w:r>
    </w:p>
    <w:p w:rsidR="00C2535E" w:rsidRPr="00BC3AFC" w:rsidRDefault="00C2535E" w:rsidP="00C2535E">
      <w:pPr>
        <w:pStyle w:val="ListParagraph"/>
        <w:numPr>
          <w:ilvl w:val="1"/>
          <w:numId w:val="8"/>
        </w:numPr>
        <w:jc w:val="left"/>
        <w:rPr>
          <w:b/>
          <w:szCs w:val="24"/>
          <w:lang w:val="en-GB"/>
        </w:rPr>
      </w:pPr>
      <w:r w:rsidRPr="00BC3AFC">
        <w:rPr>
          <w:i/>
          <w:iCs/>
          <w:szCs w:val="24"/>
          <w:lang w:val="en-GB"/>
        </w:rPr>
        <w:t>Mycobacterium tuberculosis</w:t>
      </w:r>
    </w:p>
    <w:p w:rsidR="00C2535E" w:rsidRPr="00BC3AFC" w:rsidRDefault="00A45A3E" w:rsidP="00A45A3E">
      <w:pPr>
        <w:pStyle w:val="Heading3"/>
        <w:rPr>
          <w:lang w:val="en-GB"/>
        </w:rPr>
      </w:pPr>
      <w:r w:rsidRPr="00BC3AFC">
        <w:rPr>
          <w:lang w:val="en-GB"/>
        </w:rPr>
        <w:t>Sterile fluid / pus specimens</w:t>
      </w:r>
    </w:p>
    <w:p w:rsidR="00A45A3E" w:rsidRPr="00BC3AFC" w:rsidRDefault="00A45A3E" w:rsidP="00A45A3E">
      <w:pPr>
        <w:rPr>
          <w:lang w:val="en-GB"/>
        </w:rPr>
      </w:pPr>
      <w:r w:rsidRPr="00BC3AFC">
        <w:rPr>
          <w:lang w:val="en-GB"/>
        </w:rPr>
        <w:t>Fluid or pus collected into a sterile specimen container is always preferred to a swab specimen: there is a much higher chance of identifying significant infections from good volume pus specimens than if a swab is sent.</w:t>
      </w:r>
    </w:p>
    <w:p w:rsidR="00A45A3E" w:rsidRPr="00BC3AFC" w:rsidRDefault="00A45A3E" w:rsidP="00F22911">
      <w:pPr>
        <w:ind w:left="1440"/>
        <w:rPr>
          <w:lang w:val="en-GB"/>
        </w:rPr>
      </w:pPr>
      <w:r w:rsidRPr="00BC3AFC">
        <w:rPr>
          <w:lang w:val="en-GB"/>
        </w:rPr>
        <w:t>Clinical details help greatly in processing these specimens: clear information regarding suspected diagnosis and location of specimen (e.g. “pus from ruptured appendix” is much more helpful than “abdominal pus”).</w:t>
      </w:r>
    </w:p>
    <w:p w:rsidR="00A45A3E" w:rsidRPr="00BC3AFC" w:rsidRDefault="00A45A3E" w:rsidP="00A45A3E">
      <w:pPr>
        <w:rPr>
          <w:lang w:val="en-GB"/>
        </w:rPr>
      </w:pPr>
      <w:r w:rsidRPr="00BC3AFC">
        <w:rPr>
          <w:lang w:val="en-GB"/>
        </w:rPr>
        <w:t>Pus should be sent to the laboratory as soon as possible after collection, to ensure specimen integrity.</w:t>
      </w:r>
    </w:p>
    <w:p w:rsidR="00272557" w:rsidRPr="00BC3AFC" w:rsidRDefault="00272557" w:rsidP="00A45A3E">
      <w:pPr>
        <w:rPr>
          <w:lang w:val="en-GB"/>
        </w:rPr>
      </w:pPr>
      <w:r w:rsidRPr="00BC3AFC">
        <w:rPr>
          <w:lang w:val="en-GB"/>
        </w:rPr>
        <w:t>In general, all organisms isolated will be fully identified and antimicrobial susceptibilities performed.</w:t>
      </w:r>
    </w:p>
    <w:p w:rsidR="00A45A3E" w:rsidRPr="00BC3AFC" w:rsidRDefault="00A45A3E" w:rsidP="00A45A3E">
      <w:pPr>
        <w:rPr>
          <w:lang w:val="en-GB"/>
        </w:rPr>
      </w:pPr>
      <w:r w:rsidRPr="00BC3AFC">
        <w:rPr>
          <w:lang w:val="en-GB"/>
        </w:rPr>
        <w:t xml:space="preserve">TB GeneXpert can be requested on these specimens if the diagnosis </w:t>
      </w:r>
      <w:r w:rsidR="000262B5" w:rsidRPr="00BC3AFC">
        <w:rPr>
          <w:lang w:val="en-GB"/>
        </w:rPr>
        <w:t>is strongly suspected;</w:t>
      </w:r>
      <w:r w:rsidRPr="00BC3AFC">
        <w:rPr>
          <w:lang w:val="en-GB"/>
        </w:rPr>
        <w:t xml:space="preserve"> however</w:t>
      </w:r>
      <w:r w:rsidR="000262B5" w:rsidRPr="00BC3AFC">
        <w:rPr>
          <w:lang w:val="en-GB"/>
        </w:rPr>
        <w:t>,</w:t>
      </w:r>
      <w:r w:rsidRPr="00BC3AFC">
        <w:rPr>
          <w:lang w:val="en-GB"/>
        </w:rPr>
        <w:t xml:space="preserve"> this assay is not well validated on non-pulmonary specimens.</w:t>
      </w:r>
    </w:p>
    <w:p w:rsidR="000D1417" w:rsidRPr="00BC3AFC" w:rsidRDefault="000D1417" w:rsidP="000D1417">
      <w:pPr>
        <w:rPr>
          <w:lang w:val="en-GB"/>
        </w:rPr>
      </w:pPr>
      <w:proofErr w:type="gramStart"/>
      <w:r w:rsidRPr="00BC3AFC">
        <w:rPr>
          <w:lang w:val="en-GB"/>
        </w:rPr>
        <w:t xml:space="preserve">See also section </w:t>
      </w:r>
      <w:r w:rsidRPr="00BC3AFC">
        <w:rPr>
          <w:lang w:val="en-GB"/>
        </w:rPr>
        <w:fldChar w:fldCharType="begin"/>
      </w:r>
      <w:r w:rsidRPr="00BC3AFC">
        <w:rPr>
          <w:lang w:val="en-GB"/>
        </w:rPr>
        <w:instrText xml:space="preserve"> REF _Ref382398557 \r \h </w:instrText>
      </w:r>
      <w:r w:rsidRPr="00BC3AFC">
        <w:rPr>
          <w:lang w:val="en-GB"/>
        </w:rPr>
      </w:r>
      <w:r w:rsidRPr="00BC3AFC">
        <w:rPr>
          <w:lang w:val="en-GB"/>
        </w:rPr>
        <w:fldChar w:fldCharType="separate"/>
      </w:r>
      <w:r w:rsidR="00481781">
        <w:rPr>
          <w:lang w:val="en-GB"/>
        </w:rPr>
        <w:t>4.2.5</w:t>
      </w:r>
      <w:r w:rsidRPr="00BC3AFC">
        <w:rPr>
          <w:lang w:val="en-GB"/>
        </w:rPr>
        <w:fldChar w:fldCharType="end"/>
      </w:r>
      <w:r w:rsidRPr="00BC3AFC">
        <w:rPr>
          <w:lang w:val="en-GB"/>
        </w:rPr>
        <w:t xml:space="preserve">, regarding suspected </w:t>
      </w:r>
      <w:proofErr w:type="spellStart"/>
      <w:r w:rsidRPr="00BC3AFC">
        <w:rPr>
          <w:lang w:val="en-GB"/>
        </w:rPr>
        <w:t>melioidosis</w:t>
      </w:r>
      <w:proofErr w:type="spellEnd"/>
      <w:r w:rsidRPr="00BC3AFC">
        <w:rPr>
          <w:lang w:val="en-GB"/>
        </w:rPr>
        <w:t>.</w:t>
      </w:r>
      <w:proofErr w:type="gramEnd"/>
    </w:p>
    <w:p w:rsidR="00272557" w:rsidRPr="00BC3AFC" w:rsidRDefault="00272557" w:rsidP="00272557">
      <w:pPr>
        <w:pStyle w:val="Heading2"/>
        <w:rPr>
          <w:lang w:val="en-GB"/>
        </w:rPr>
      </w:pPr>
      <w:r w:rsidRPr="00BC3AFC">
        <w:rPr>
          <w:lang w:val="en-GB"/>
        </w:rPr>
        <w:t>Non-sterile site specimens</w:t>
      </w:r>
    </w:p>
    <w:p w:rsidR="00C50321" w:rsidRPr="00BC3AFC" w:rsidRDefault="00C50321" w:rsidP="00C50321">
      <w:pPr>
        <w:rPr>
          <w:lang w:val="en-GB"/>
        </w:rPr>
      </w:pPr>
      <w:r w:rsidRPr="00BC3AFC">
        <w:rPr>
          <w:lang w:val="en-GB"/>
        </w:rPr>
        <w:t>In many cases, these specimens (in particular swabs) do not aid clinical management. Careful consideration should be given before collecting the following:</w:t>
      </w:r>
    </w:p>
    <w:p w:rsidR="00C50321" w:rsidRPr="00BC3AFC" w:rsidRDefault="00C50321" w:rsidP="00C50321">
      <w:pPr>
        <w:pStyle w:val="ListParagraph"/>
        <w:numPr>
          <w:ilvl w:val="0"/>
          <w:numId w:val="9"/>
        </w:numPr>
        <w:rPr>
          <w:lang w:val="en-GB"/>
        </w:rPr>
      </w:pPr>
      <w:r w:rsidRPr="00BC3AFC">
        <w:rPr>
          <w:lang w:val="en-GB"/>
        </w:rPr>
        <w:t>Eye swab in non-neonates</w:t>
      </w:r>
    </w:p>
    <w:p w:rsidR="00C50321" w:rsidRPr="00BC3AFC" w:rsidRDefault="00C50321" w:rsidP="00C50321">
      <w:pPr>
        <w:pStyle w:val="ListParagraph"/>
        <w:numPr>
          <w:ilvl w:val="0"/>
          <w:numId w:val="9"/>
        </w:numPr>
        <w:rPr>
          <w:lang w:val="en-GB"/>
        </w:rPr>
      </w:pPr>
      <w:r w:rsidRPr="00BC3AFC">
        <w:rPr>
          <w:lang w:val="en-GB"/>
        </w:rPr>
        <w:t>Ear swabs in all ages</w:t>
      </w:r>
    </w:p>
    <w:p w:rsidR="00676CC9" w:rsidRPr="00BC3AFC" w:rsidRDefault="00676CC9" w:rsidP="00C50321">
      <w:pPr>
        <w:pStyle w:val="ListParagraph"/>
        <w:numPr>
          <w:ilvl w:val="0"/>
          <w:numId w:val="9"/>
        </w:numPr>
        <w:rPr>
          <w:lang w:val="en-GB"/>
        </w:rPr>
      </w:pPr>
      <w:r w:rsidRPr="00BC3AFC">
        <w:rPr>
          <w:lang w:val="en-GB"/>
        </w:rPr>
        <w:t>Endotracheal tube aspirates</w:t>
      </w:r>
    </w:p>
    <w:p w:rsidR="00C50321" w:rsidRPr="00BC3AFC" w:rsidRDefault="00C50321" w:rsidP="00C50321">
      <w:pPr>
        <w:pStyle w:val="ListParagraph"/>
        <w:numPr>
          <w:ilvl w:val="0"/>
          <w:numId w:val="9"/>
        </w:numPr>
        <w:rPr>
          <w:lang w:val="en-GB"/>
        </w:rPr>
      </w:pPr>
      <w:r w:rsidRPr="00BC3AFC">
        <w:rPr>
          <w:lang w:val="en-GB"/>
        </w:rPr>
        <w:t>Skin swabs</w:t>
      </w:r>
    </w:p>
    <w:p w:rsidR="00B25421" w:rsidRPr="00BC3AFC" w:rsidRDefault="00B25421" w:rsidP="00C50321">
      <w:pPr>
        <w:pStyle w:val="Heading3"/>
        <w:rPr>
          <w:lang w:val="en-GB"/>
        </w:rPr>
      </w:pPr>
      <w:r w:rsidRPr="00BC3AFC">
        <w:rPr>
          <w:lang w:val="en-GB"/>
        </w:rPr>
        <w:t>Eye / Respiratory</w:t>
      </w:r>
    </w:p>
    <w:p w:rsidR="00272557" w:rsidRPr="00BC3AFC" w:rsidRDefault="00C50321" w:rsidP="00B25421">
      <w:pPr>
        <w:pStyle w:val="Heading4"/>
        <w:rPr>
          <w:lang w:val="en-GB"/>
        </w:rPr>
      </w:pPr>
      <w:r w:rsidRPr="00BC3AFC">
        <w:rPr>
          <w:lang w:val="en-GB"/>
        </w:rPr>
        <w:t>Eye swabs</w:t>
      </w:r>
    </w:p>
    <w:p w:rsidR="00C50321" w:rsidRPr="00BC3AFC" w:rsidRDefault="00B52C81" w:rsidP="00C50321">
      <w:pPr>
        <w:rPr>
          <w:i/>
          <w:lang w:val="en-GB"/>
        </w:rPr>
      </w:pPr>
      <w:r w:rsidRPr="00BC3AFC">
        <w:rPr>
          <w:lang w:val="en-GB"/>
        </w:rPr>
        <w:t xml:space="preserve">Neonatal eye swabs are </w:t>
      </w:r>
      <w:r w:rsidR="00C50321" w:rsidRPr="00BC3AFC">
        <w:rPr>
          <w:lang w:val="en-GB"/>
        </w:rPr>
        <w:t xml:space="preserve">cultured to identify </w:t>
      </w:r>
      <w:r w:rsidR="00C50321" w:rsidRPr="00BC3AFC">
        <w:rPr>
          <w:i/>
          <w:lang w:val="en-GB"/>
        </w:rPr>
        <w:t xml:space="preserve">Neisseria gonorrhoeae </w:t>
      </w:r>
      <w:r w:rsidR="00C50321" w:rsidRPr="00BC3AFC">
        <w:rPr>
          <w:lang w:val="en-GB"/>
        </w:rPr>
        <w:t>in addition to routine pathogens (</w:t>
      </w:r>
      <w:r w:rsidR="00C50321" w:rsidRPr="00BC3AFC">
        <w:rPr>
          <w:i/>
          <w:lang w:val="en-GB"/>
        </w:rPr>
        <w:t>Staphylococcus aureus</w:t>
      </w:r>
      <w:r w:rsidR="00C50321" w:rsidRPr="00BC3AFC">
        <w:rPr>
          <w:lang w:val="en-GB"/>
        </w:rPr>
        <w:t xml:space="preserve">, beta-haemolytic streptococci, respiratory organisms (e.g. </w:t>
      </w:r>
      <w:r w:rsidR="00827443" w:rsidRPr="00BC3AFC">
        <w:rPr>
          <w:i/>
          <w:lang w:val="en-GB"/>
        </w:rPr>
        <w:t>Haemophilus</w:t>
      </w:r>
      <w:r w:rsidR="00C50321" w:rsidRPr="00BC3AFC">
        <w:rPr>
          <w:i/>
          <w:lang w:val="en-GB"/>
        </w:rPr>
        <w:t xml:space="preserve"> influenzae, Moraxella catarrhalis, Streptococcus </w:t>
      </w:r>
      <w:r w:rsidR="000E5EB7" w:rsidRPr="00BC3AFC">
        <w:rPr>
          <w:i/>
          <w:lang w:val="en-GB"/>
        </w:rPr>
        <w:t>pneumoniae</w:t>
      </w:r>
      <w:r w:rsidR="00C50321" w:rsidRPr="00BC3AFC">
        <w:rPr>
          <w:lang w:val="en-GB"/>
        </w:rPr>
        <w:t>,</w:t>
      </w:r>
      <w:r w:rsidR="00C50321" w:rsidRPr="00BC3AFC">
        <w:rPr>
          <w:i/>
          <w:lang w:val="en-GB"/>
        </w:rPr>
        <w:t xml:space="preserve"> </w:t>
      </w:r>
      <w:r w:rsidR="00C50321" w:rsidRPr="00BC3AFC">
        <w:rPr>
          <w:lang w:val="en-GB"/>
        </w:rPr>
        <w:t xml:space="preserve">coliforms, </w:t>
      </w:r>
      <w:proofErr w:type="gramStart"/>
      <w:r w:rsidR="00C50321" w:rsidRPr="00BC3AFC">
        <w:rPr>
          <w:i/>
          <w:lang w:val="en-GB"/>
        </w:rPr>
        <w:t>Pseudomonas</w:t>
      </w:r>
      <w:proofErr w:type="gramEnd"/>
      <w:r w:rsidR="00C50321" w:rsidRPr="00BC3AFC">
        <w:rPr>
          <w:i/>
          <w:lang w:val="en-GB"/>
        </w:rPr>
        <w:t xml:space="preserve"> aeruginosa).</w:t>
      </w:r>
    </w:p>
    <w:p w:rsidR="00C50321" w:rsidRPr="00BC3AFC" w:rsidRDefault="00C50321" w:rsidP="00B25421">
      <w:pPr>
        <w:pStyle w:val="Heading4"/>
        <w:rPr>
          <w:lang w:val="en-GB"/>
        </w:rPr>
      </w:pPr>
      <w:r w:rsidRPr="00BC3AFC">
        <w:rPr>
          <w:lang w:val="en-GB"/>
        </w:rPr>
        <w:t>Ear swabs</w:t>
      </w:r>
    </w:p>
    <w:p w:rsidR="00C50321" w:rsidRPr="00BC3AFC" w:rsidRDefault="00C50321" w:rsidP="00C50321">
      <w:pPr>
        <w:rPr>
          <w:lang w:val="en-GB"/>
        </w:rPr>
      </w:pPr>
      <w:r w:rsidRPr="00BC3AFC">
        <w:rPr>
          <w:lang w:val="en-GB"/>
        </w:rPr>
        <w:t>Ear swabs are seldom helpful. Almost all ear swabs will grow a potentially pathogenic organism: an ear swab will not distinguish between otitis media and otitis externa.</w:t>
      </w:r>
    </w:p>
    <w:p w:rsidR="00C50321" w:rsidRPr="00BC3AFC" w:rsidRDefault="00C50321" w:rsidP="00C50321">
      <w:pPr>
        <w:pStyle w:val="ListParagraph"/>
        <w:numPr>
          <w:ilvl w:val="0"/>
          <w:numId w:val="10"/>
        </w:numPr>
        <w:rPr>
          <w:lang w:val="en-GB"/>
        </w:rPr>
      </w:pPr>
      <w:r w:rsidRPr="00BC3AFC">
        <w:rPr>
          <w:lang w:val="en-GB"/>
        </w:rPr>
        <w:t xml:space="preserve">Otitis externa tends to be associated with </w:t>
      </w:r>
      <w:r w:rsidRPr="00BC3AFC">
        <w:rPr>
          <w:i/>
          <w:lang w:val="en-GB"/>
        </w:rPr>
        <w:t xml:space="preserve">Staphylococcus aureus, Pseudomonas aeruginosa, </w:t>
      </w:r>
      <w:r w:rsidRPr="00BC3AFC">
        <w:rPr>
          <w:lang w:val="en-GB"/>
        </w:rPr>
        <w:t>coliforms, yeasts and other fungi</w:t>
      </w:r>
    </w:p>
    <w:p w:rsidR="00C50321" w:rsidRPr="00BC3AFC" w:rsidRDefault="00C50321" w:rsidP="00C50321">
      <w:pPr>
        <w:pStyle w:val="ListParagraph"/>
        <w:numPr>
          <w:ilvl w:val="0"/>
          <w:numId w:val="10"/>
        </w:numPr>
        <w:rPr>
          <w:i/>
          <w:lang w:val="en-GB"/>
        </w:rPr>
      </w:pPr>
      <w:r w:rsidRPr="00BC3AFC">
        <w:rPr>
          <w:lang w:val="en-GB"/>
        </w:rPr>
        <w:t xml:space="preserve">Otitis media is usually caused by </w:t>
      </w:r>
      <w:r w:rsidRPr="00BC3AFC">
        <w:rPr>
          <w:i/>
          <w:lang w:val="en-GB"/>
        </w:rPr>
        <w:t xml:space="preserve">Haemophilus influenzae, Moraxella catarrhalis, </w:t>
      </w:r>
      <w:r w:rsidRPr="00BC3AFC">
        <w:rPr>
          <w:lang w:val="en-GB"/>
        </w:rPr>
        <w:t xml:space="preserve">and </w:t>
      </w:r>
      <w:r w:rsidRPr="00BC3AFC">
        <w:rPr>
          <w:i/>
          <w:lang w:val="en-GB"/>
        </w:rPr>
        <w:t>Streptococcus pneumoniae.</w:t>
      </w:r>
    </w:p>
    <w:p w:rsidR="00C50321" w:rsidRPr="00BC3AFC" w:rsidRDefault="00C50321" w:rsidP="00C50321">
      <w:pPr>
        <w:rPr>
          <w:lang w:val="en-GB"/>
        </w:rPr>
      </w:pPr>
      <w:r w:rsidRPr="00BC3AFC">
        <w:rPr>
          <w:lang w:val="en-GB"/>
        </w:rPr>
        <w:t>The laboratory will reject ear swabs sent without clinical details and will only process specimens from OPD that indicate empiric treatment has already been tried.</w:t>
      </w:r>
    </w:p>
    <w:p w:rsidR="000E5EB7" w:rsidRPr="00BC3AFC" w:rsidRDefault="000E5EB7" w:rsidP="00B25421">
      <w:pPr>
        <w:pStyle w:val="Heading4"/>
        <w:rPr>
          <w:lang w:val="en-GB"/>
        </w:rPr>
      </w:pPr>
      <w:r w:rsidRPr="00BC3AFC">
        <w:rPr>
          <w:lang w:val="en-GB"/>
        </w:rPr>
        <w:t>Sputum / ETT aspirates</w:t>
      </w:r>
    </w:p>
    <w:p w:rsidR="000E5EB7" w:rsidRPr="00BC3AFC" w:rsidRDefault="000E5EB7" w:rsidP="000E5EB7">
      <w:pPr>
        <w:rPr>
          <w:lang w:val="en-GB"/>
        </w:rPr>
      </w:pPr>
      <w:r w:rsidRPr="00BC3AFC">
        <w:rPr>
          <w:lang w:val="en-GB"/>
        </w:rPr>
        <w:t>Young children cannot produce sputum that is not contaminated by upper respiratory tract organisms: it is rarely useful to send a sputum sample in children with suspected pneumonia.</w:t>
      </w:r>
    </w:p>
    <w:p w:rsidR="003F7477" w:rsidRPr="00BC3AFC" w:rsidRDefault="000E5EB7" w:rsidP="003F7477">
      <w:pPr>
        <w:rPr>
          <w:lang w:val="en-GB"/>
        </w:rPr>
      </w:pPr>
      <w:r w:rsidRPr="00BC3AFC">
        <w:rPr>
          <w:lang w:val="en-GB"/>
        </w:rPr>
        <w:t>Endotracheal tube aspirates (ETT aspirates) frequently grow colonising organisms are often of limited value in predicting the cause of ventilator-associated pneumonia.</w:t>
      </w:r>
    </w:p>
    <w:p w:rsidR="000D1417" w:rsidRPr="00BC3AFC" w:rsidRDefault="000D1417" w:rsidP="003F7477">
      <w:pPr>
        <w:rPr>
          <w:lang w:val="en-GB"/>
        </w:rPr>
      </w:pPr>
      <w:proofErr w:type="gramStart"/>
      <w:r w:rsidRPr="00BC3AFC">
        <w:rPr>
          <w:lang w:val="en-GB"/>
        </w:rPr>
        <w:t xml:space="preserve">See also section </w:t>
      </w:r>
      <w:r w:rsidRPr="00BC3AFC">
        <w:rPr>
          <w:lang w:val="en-GB"/>
        </w:rPr>
        <w:fldChar w:fldCharType="begin"/>
      </w:r>
      <w:r w:rsidRPr="00BC3AFC">
        <w:rPr>
          <w:lang w:val="en-GB"/>
        </w:rPr>
        <w:instrText xml:space="preserve"> REF _Ref382398557 \r \h </w:instrText>
      </w:r>
      <w:r w:rsidRPr="00BC3AFC">
        <w:rPr>
          <w:lang w:val="en-GB"/>
        </w:rPr>
      </w:r>
      <w:r w:rsidRPr="00BC3AFC">
        <w:rPr>
          <w:lang w:val="en-GB"/>
        </w:rPr>
        <w:fldChar w:fldCharType="separate"/>
      </w:r>
      <w:r w:rsidR="00481781">
        <w:rPr>
          <w:lang w:val="en-GB"/>
        </w:rPr>
        <w:t>4.2.5</w:t>
      </w:r>
      <w:r w:rsidRPr="00BC3AFC">
        <w:rPr>
          <w:lang w:val="en-GB"/>
        </w:rPr>
        <w:fldChar w:fldCharType="end"/>
      </w:r>
      <w:r w:rsidRPr="00BC3AFC">
        <w:rPr>
          <w:lang w:val="en-GB"/>
        </w:rPr>
        <w:t xml:space="preserve">, regarding suspected </w:t>
      </w:r>
      <w:proofErr w:type="spellStart"/>
      <w:r w:rsidRPr="00BC3AFC">
        <w:rPr>
          <w:lang w:val="en-GB"/>
        </w:rPr>
        <w:t>melioidosis</w:t>
      </w:r>
      <w:proofErr w:type="spellEnd"/>
      <w:r w:rsidRPr="00BC3AFC">
        <w:rPr>
          <w:lang w:val="en-GB"/>
        </w:rPr>
        <w:t>.</w:t>
      </w:r>
      <w:proofErr w:type="gramEnd"/>
    </w:p>
    <w:p w:rsidR="00141E05" w:rsidRPr="00BC3AFC" w:rsidRDefault="00141E05" w:rsidP="000D1417">
      <w:pPr>
        <w:pStyle w:val="Heading4"/>
        <w:rPr>
          <w:lang w:val="en-GB"/>
        </w:rPr>
      </w:pPr>
      <w:r w:rsidRPr="00BC3AFC">
        <w:rPr>
          <w:lang w:val="en-GB"/>
        </w:rPr>
        <w:t>Sputum / Gastric aspirates for TB</w:t>
      </w:r>
    </w:p>
    <w:p w:rsidR="00141E05" w:rsidRPr="00BC3AFC" w:rsidRDefault="00141E05" w:rsidP="000E5EB7">
      <w:pPr>
        <w:rPr>
          <w:lang w:val="en-GB"/>
        </w:rPr>
      </w:pPr>
      <w:r w:rsidRPr="00BC3AFC">
        <w:rPr>
          <w:lang w:val="en-GB"/>
        </w:rPr>
        <w:t>Investigation of suspected pulmonary TB requires a combination of clinical, radiological, and laboratory tests. Gastric aspirates are used as a proxy for sputum in children too you to cough up good quality sputum specimens (this age group swallows sputum rather than expectorating it).</w:t>
      </w:r>
    </w:p>
    <w:p w:rsidR="006B1A6E" w:rsidRPr="00BC3AFC" w:rsidRDefault="00141E05" w:rsidP="000E5EB7">
      <w:pPr>
        <w:rPr>
          <w:lang w:val="en-GB"/>
        </w:rPr>
      </w:pPr>
      <w:r w:rsidRPr="00BC3AFC">
        <w:rPr>
          <w:lang w:val="en-GB"/>
        </w:rPr>
        <w:t>Daily early morning sputum or gastric aspirate specimens should be collected on three consecutive days in leak proof wide mouthed specimen containers.</w:t>
      </w:r>
    </w:p>
    <w:p w:rsidR="00141E05" w:rsidRPr="00BC3AFC" w:rsidRDefault="006B1A6E" w:rsidP="000E5EB7">
      <w:pPr>
        <w:rPr>
          <w:lang w:val="en-GB"/>
        </w:rPr>
      </w:pPr>
      <w:r w:rsidRPr="00BC3AFC">
        <w:rPr>
          <w:lang w:val="en-GB"/>
        </w:rPr>
        <w:t>The microbiology laboratory</w:t>
      </w:r>
      <w:r w:rsidR="008C29F3" w:rsidRPr="00BC3AFC">
        <w:rPr>
          <w:lang w:val="en-GB"/>
        </w:rPr>
        <w:t xml:space="preserve"> identifies</w:t>
      </w:r>
      <w:r w:rsidRPr="00BC3AFC">
        <w:rPr>
          <w:lang w:val="en-GB"/>
        </w:rPr>
        <w:t xml:space="preserve"> acid-fast bacilli presence in the specimens by Ziehl-Neelson (ZN) staining. Specimens for days 1 and 2 (or 3 if one of the earlier specimens is insufficient) will also undergo MTB/RIF testing using the Cepheid GeneXpert system. This PCR-based system identifies the presence of </w:t>
      </w:r>
      <w:r w:rsidRPr="00BC3AFC">
        <w:rPr>
          <w:i/>
          <w:lang w:val="en-GB"/>
        </w:rPr>
        <w:t xml:space="preserve">Mycobacterium tuberculosis </w:t>
      </w:r>
      <w:r w:rsidRPr="00BC3AFC">
        <w:rPr>
          <w:lang w:val="en-GB"/>
        </w:rPr>
        <w:t>complex DNA and the presence of rifampicin resistance (a marker for multi-drug resistant [MDR] TB).</w:t>
      </w:r>
    </w:p>
    <w:p w:rsidR="006B1A6E" w:rsidRPr="00BC3AFC" w:rsidRDefault="006B1A6E" w:rsidP="000E5EB7">
      <w:pPr>
        <w:rPr>
          <w:lang w:val="en-GB"/>
        </w:rPr>
      </w:pPr>
      <w:r w:rsidRPr="00BC3AFC">
        <w:rPr>
          <w:lang w:val="en-GB"/>
        </w:rPr>
        <w:t>For monitoring of patients on TB treatment, sputum or gastric aspirate specimens will be investigated using ZN staining only. It is not possible to monitor treatment using the GeneXpert system.</w:t>
      </w:r>
    </w:p>
    <w:p w:rsidR="00D63FD4" w:rsidRPr="00BC3AFC" w:rsidRDefault="00B25421" w:rsidP="00B25421">
      <w:pPr>
        <w:pStyle w:val="Heading4"/>
        <w:rPr>
          <w:lang w:val="en-GB"/>
        </w:rPr>
      </w:pPr>
      <w:r w:rsidRPr="00BC3AFC">
        <w:rPr>
          <w:lang w:val="en-GB"/>
        </w:rPr>
        <w:t>Throat swabs</w:t>
      </w:r>
    </w:p>
    <w:p w:rsidR="00421E3B" w:rsidRPr="00BC3AFC" w:rsidRDefault="00BA4DA5" w:rsidP="00BA4DA5">
      <w:pPr>
        <w:rPr>
          <w:lang w:val="en-GB"/>
        </w:rPr>
      </w:pPr>
      <w:r w:rsidRPr="00BC3AFC">
        <w:rPr>
          <w:lang w:val="en-GB"/>
        </w:rPr>
        <w:t xml:space="preserve">Throat swabs are routinely cultured to identify beta-haemolytic streptococci only (i.e. Groups A, C, and G streptococcus). If the specimen request form is appropriately labelled, </w:t>
      </w:r>
      <w:r w:rsidR="00421E3B" w:rsidRPr="00BC3AFC">
        <w:rPr>
          <w:lang w:val="en-GB"/>
        </w:rPr>
        <w:t>swabs from:</w:t>
      </w:r>
    </w:p>
    <w:p w:rsidR="00421E3B" w:rsidRPr="00BC3AFC" w:rsidRDefault="00421E3B" w:rsidP="00421E3B">
      <w:pPr>
        <w:pStyle w:val="ListParagraph"/>
        <w:numPr>
          <w:ilvl w:val="0"/>
          <w:numId w:val="13"/>
        </w:numPr>
        <w:rPr>
          <w:lang w:val="en-GB"/>
        </w:rPr>
      </w:pPr>
      <w:r w:rsidRPr="00BC3AFC">
        <w:rPr>
          <w:lang w:val="en-GB"/>
        </w:rPr>
        <w:t>S</w:t>
      </w:r>
      <w:r w:rsidR="00BA4DA5" w:rsidRPr="00BC3AFC">
        <w:rPr>
          <w:lang w:val="en-GB"/>
        </w:rPr>
        <w:t xml:space="preserve">uspected sexual abuse </w:t>
      </w:r>
      <w:r w:rsidRPr="00BC3AFC">
        <w:rPr>
          <w:lang w:val="en-GB"/>
        </w:rPr>
        <w:t xml:space="preserve">cases </w:t>
      </w:r>
      <w:r w:rsidR="00BA4DA5" w:rsidRPr="00BC3AFC">
        <w:rPr>
          <w:lang w:val="en-GB"/>
        </w:rPr>
        <w:t xml:space="preserve">are also cultured to identify </w:t>
      </w:r>
      <w:r w:rsidR="00BA4DA5" w:rsidRPr="00BC3AFC">
        <w:rPr>
          <w:i/>
          <w:lang w:val="en-GB"/>
        </w:rPr>
        <w:t>Neisseria gonorrhoeae</w:t>
      </w:r>
      <w:r w:rsidRPr="00BC3AFC">
        <w:rPr>
          <w:lang w:val="en-GB"/>
        </w:rPr>
        <w:t xml:space="preserve"> infection.</w:t>
      </w:r>
    </w:p>
    <w:p w:rsidR="00BA4DA5" w:rsidRPr="00BC3AFC" w:rsidRDefault="00BA4DA5" w:rsidP="00421E3B">
      <w:pPr>
        <w:pStyle w:val="ListParagraph"/>
        <w:numPr>
          <w:ilvl w:val="0"/>
          <w:numId w:val="13"/>
        </w:numPr>
        <w:rPr>
          <w:lang w:val="en-GB"/>
        </w:rPr>
      </w:pPr>
      <w:r w:rsidRPr="00BC3AFC">
        <w:rPr>
          <w:lang w:val="en-GB"/>
        </w:rPr>
        <w:t>HIV cases or suspected candida infection are cultured to identify yeast infections.</w:t>
      </w:r>
    </w:p>
    <w:p w:rsidR="00DD7F72" w:rsidRPr="00BC3AFC" w:rsidRDefault="00DD7F72" w:rsidP="00DD7F72">
      <w:pPr>
        <w:rPr>
          <w:lang w:val="en-GB"/>
        </w:rPr>
      </w:pPr>
      <w:proofErr w:type="gramStart"/>
      <w:r w:rsidRPr="00BC3AFC">
        <w:rPr>
          <w:lang w:val="en-GB"/>
        </w:rPr>
        <w:t xml:space="preserve">See also section </w:t>
      </w:r>
      <w:r w:rsidRPr="00BC3AFC">
        <w:rPr>
          <w:lang w:val="en-GB"/>
        </w:rPr>
        <w:fldChar w:fldCharType="begin"/>
      </w:r>
      <w:r w:rsidRPr="00BC3AFC">
        <w:rPr>
          <w:lang w:val="en-GB"/>
        </w:rPr>
        <w:instrText xml:space="preserve"> REF _Ref382398557 \r \h </w:instrText>
      </w:r>
      <w:r w:rsidRPr="00BC3AFC">
        <w:rPr>
          <w:lang w:val="en-GB"/>
        </w:rPr>
      </w:r>
      <w:r w:rsidRPr="00BC3AFC">
        <w:rPr>
          <w:lang w:val="en-GB"/>
        </w:rPr>
        <w:fldChar w:fldCharType="separate"/>
      </w:r>
      <w:r w:rsidR="00481781">
        <w:rPr>
          <w:lang w:val="en-GB"/>
        </w:rPr>
        <w:t>4.2.5</w:t>
      </w:r>
      <w:r w:rsidRPr="00BC3AFC">
        <w:rPr>
          <w:lang w:val="en-GB"/>
        </w:rPr>
        <w:fldChar w:fldCharType="end"/>
      </w:r>
      <w:r w:rsidRPr="00BC3AFC">
        <w:rPr>
          <w:lang w:val="en-GB"/>
        </w:rPr>
        <w:t xml:space="preserve">, regarding suspected </w:t>
      </w:r>
      <w:proofErr w:type="spellStart"/>
      <w:r w:rsidRPr="00BC3AFC">
        <w:rPr>
          <w:lang w:val="en-GB"/>
        </w:rPr>
        <w:t>melioidosis</w:t>
      </w:r>
      <w:proofErr w:type="spellEnd"/>
      <w:r w:rsidRPr="00BC3AFC">
        <w:rPr>
          <w:lang w:val="en-GB"/>
        </w:rPr>
        <w:t>.</w:t>
      </w:r>
      <w:proofErr w:type="gramEnd"/>
    </w:p>
    <w:p w:rsidR="00B25421" w:rsidRPr="00BC3AFC" w:rsidRDefault="00B25421" w:rsidP="00B25421">
      <w:pPr>
        <w:pStyle w:val="Heading3"/>
        <w:rPr>
          <w:lang w:val="en-GB"/>
        </w:rPr>
      </w:pPr>
      <w:r w:rsidRPr="00BC3AFC">
        <w:rPr>
          <w:lang w:val="en-GB"/>
        </w:rPr>
        <w:t>Gastro-intestinal tract</w:t>
      </w:r>
    </w:p>
    <w:p w:rsidR="00B25421" w:rsidRPr="00BC3AFC" w:rsidRDefault="00B25421" w:rsidP="00B25421">
      <w:pPr>
        <w:pStyle w:val="Heading4"/>
        <w:rPr>
          <w:lang w:val="en-GB"/>
        </w:rPr>
      </w:pPr>
      <w:r w:rsidRPr="00BC3AFC">
        <w:rPr>
          <w:lang w:val="en-GB"/>
        </w:rPr>
        <w:t>Faeces</w:t>
      </w:r>
    </w:p>
    <w:p w:rsidR="007767F1" w:rsidRPr="00BC3AFC" w:rsidRDefault="007767F1" w:rsidP="002C292E">
      <w:pPr>
        <w:rPr>
          <w:i/>
          <w:lang w:val="en-GB"/>
        </w:rPr>
      </w:pPr>
      <w:r w:rsidRPr="00BC3AFC">
        <w:rPr>
          <w:lang w:val="en-GB"/>
        </w:rPr>
        <w:t>Faecal specimens should be collected into a sterile, leak-proof plastic container, taking care not to overfill the container</w:t>
      </w:r>
      <w:r w:rsidRPr="00BC3AFC">
        <w:rPr>
          <w:i/>
          <w:lang w:val="en-GB"/>
        </w:rPr>
        <w:t>.</w:t>
      </w:r>
    </w:p>
    <w:p w:rsidR="002C292E" w:rsidRPr="00BC3AFC" w:rsidRDefault="002C292E" w:rsidP="002C292E">
      <w:pPr>
        <w:rPr>
          <w:lang w:val="en-GB"/>
        </w:rPr>
      </w:pPr>
      <w:r w:rsidRPr="00BC3AFC">
        <w:rPr>
          <w:lang w:val="en-GB"/>
        </w:rPr>
        <w:t xml:space="preserve">Intestinal parasites will be identified by microscopy of stool specimens: non-pathogenic organisms (e.g. </w:t>
      </w:r>
      <w:r w:rsidRPr="00BC3AFC">
        <w:rPr>
          <w:i/>
          <w:lang w:val="en-GB"/>
        </w:rPr>
        <w:t>Entamoeba coli</w:t>
      </w:r>
      <w:r w:rsidRPr="00BC3AFC">
        <w:rPr>
          <w:lang w:val="en-GB"/>
        </w:rPr>
        <w:t>) will not be reported.</w:t>
      </w:r>
    </w:p>
    <w:p w:rsidR="007767F1" w:rsidRPr="00BC3AFC" w:rsidRDefault="007767F1" w:rsidP="002C292E">
      <w:pPr>
        <w:rPr>
          <w:lang w:val="en-GB"/>
        </w:rPr>
      </w:pPr>
      <w:r w:rsidRPr="00BC3AFC">
        <w:rPr>
          <w:lang w:val="en-GB"/>
        </w:rPr>
        <w:t xml:space="preserve">Stool specimens will be cultured to identify </w:t>
      </w:r>
      <w:r w:rsidRPr="00BC3AFC">
        <w:rPr>
          <w:i/>
          <w:lang w:val="en-GB"/>
        </w:rPr>
        <w:t xml:space="preserve">Salmonella </w:t>
      </w:r>
      <w:r w:rsidRPr="00BC3AFC">
        <w:rPr>
          <w:lang w:val="en-GB"/>
        </w:rPr>
        <w:t xml:space="preserve">spp. and </w:t>
      </w:r>
      <w:r w:rsidRPr="00BC3AFC">
        <w:rPr>
          <w:i/>
          <w:lang w:val="en-GB"/>
        </w:rPr>
        <w:t xml:space="preserve">Shigella </w:t>
      </w:r>
      <w:r w:rsidRPr="00BC3AFC">
        <w:rPr>
          <w:lang w:val="en-GB"/>
        </w:rPr>
        <w:t>spp. if requested. Antimicrobial susceptibilities will be reported routinely if these organisms are identified.</w:t>
      </w:r>
    </w:p>
    <w:p w:rsidR="00B25421" w:rsidRPr="00BC3AFC" w:rsidRDefault="00B25421" w:rsidP="00B25421">
      <w:pPr>
        <w:pStyle w:val="Heading3"/>
        <w:rPr>
          <w:lang w:val="en-GB"/>
        </w:rPr>
      </w:pPr>
      <w:r w:rsidRPr="00BC3AFC">
        <w:rPr>
          <w:lang w:val="en-GB"/>
        </w:rPr>
        <w:t>Skin / Soft tissue</w:t>
      </w:r>
    </w:p>
    <w:p w:rsidR="00B25421" w:rsidRPr="00BC3AFC" w:rsidRDefault="00B25421" w:rsidP="00B25421">
      <w:pPr>
        <w:pStyle w:val="Heading4"/>
        <w:rPr>
          <w:lang w:val="en-GB"/>
        </w:rPr>
      </w:pPr>
      <w:r w:rsidRPr="00BC3AFC">
        <w:rPr>
          <w:lang w:val="en-GB"/>
        </w:rPr>
        <w:t>Skin / Pus / Wound swabs</w:t>
      </w:r>
    </w:p>
    <w:p w:rsidR="00023151" w:rsidRPr="00023151" w:rsidRDefault="00023151" w:rsidP="000C3C6C">
      <w:pPr>
        <w:rPr>
          <w:lang w:val="en-GB"/>
        </w:rPr>
      </w:pPr>
      <w:r>
        <w:rPr>
          <w:lang w:val="en-GB"/>
        </w:rPr>
        <w:t xml:space="preserve">Skin swabs for simple erysipelas, cellulitis, or boils frequently do not yield </w:t>
      </w:r>
      <w:r w:rsidR="00F67C0D">
        <w:rPr>
          <w:lang w:val="en-GB"/>
        </w:rPr>
        <w:t>clinically</w:t>
      </w:r>
      <w:r>
        <w:rPr>
          <w:lang w:val="en-GB"/>
        </w:rPr>
        <w:t xml:space="preserve"> useful information: these infections are usually caused by beta-haemolytic streptococci or </w:t>
      </w:r>
      <w:r>
        <w:rPr>
          <w:i/>
          <w:lang w:val="en-GB"/>
        </w:rPr>
        <w:t xml:space="preserve">Staphylococcus aureus </w:t>
      </w:r>
      <w:r>
        <w:rPr>
          <w:lang w:val="en-GB"/>
        </w:rPr>
        <w:t>and will respond to the empiric treatments outlined in the AHC antibiotic guidelines.</w:t>
      </w:r>
    </w:p>
    <w:p w:rsidR="00023151" w:rsidRDefault="00023151" w:rsidP="000C3C6C">
      <w:pPr>
        <w:rPr>
          <w:lang w:val="en-GB"/>
        </w:rPr>
      </w:pPr>
      <w:r>
        <w:rPr>
          <w:lang w:val="en-GB"/>
        </w:rPr>
        <w:t>Swabs from complicated, unusual or treatment-resistant presentations should be collected using an aseptic technique and transferred to the laboratory without delay.</w:t>
      </w:r>
    </w:p>
    <w:p w:rsidR="000C3C6C" w:rsidRDefault="00023151" w:rsidP="000C3C6C">
      <w:pPr>
        <w:rPr>
          <w:lang w:val="en-GB"/>
        </w:rPr>
      </w:pPr>
      <w:r>
        <w:rPr>
          <w:lang w:val="en-GB"/>
        </w:rPr>
        <w:t>Clear clinical details should be included on the specimen request form, since the range of potential pathogens is large and varies by mechanism (e.g. bite wound or burn or chronic ulcer).</w:t>
      </w:r>
    </w:p>
    <w:p w:rsidR="00023151" w:rsidRPr="00023151" w:rsidRDefault="00023151" w:rsidP="000C3C6C">
      <w:pPr>
        <w:rPr>
          <w:lang w:val="en-GB"/>
        </w:rPr>
      </w:pPr>
      <w:r>
        <w:rPr>
          <w:lang w:val="en-GB"/>
        </w:rPr>
        <w:t xml:space="preserve">All potential pathogens (e.g. </w:t>
      </w:r>
      <w:r>
        <w:rPr>
          <w:i/>
          <w:lang w:val="en-GB"/>
        </w:rPr>
        <w:t xml:space="preserve">Staphylococcus aureus </w:t>
      </w:r>
      <w:r>
        <w:rPr>
          <w:lang w:val="en-GB"/>
        </w:rPr>
        <w:t xml:space="preserve">or Group </w:t>
      </w:r>
      <w:proofErr w:type="gramStart"/>
      <w:r>
        <w:rPr>
          <w:lang w:val="en-GB"/>
        </w:rPr>
        <w:t>A</w:t>
      </w:r>
      <w:proofErr w:type="gramEnd"/>
      <w:r>
        <w:rPr>
          <w:lang w:val="en-GB"/>
        </w:rPr>
        <w:t xml:space="preserve"> Streptococcus) will be reported along with antimicrobial sensitivities. Certain organism groups, e.g. coliforms such as </w:t>
      </w:r>
      <w:r>
        <w:rPr>
          <w:i/>
          <w:lang w:val="en-GB"/>
        </w:rPr>
        <w:t>Escherichia coli</w:t>
      </w:r>
      <w:r>
        <w:rPr>
          <w:lang w:val="en-GB"/>
        </w:rPr>
        <w:t>, will only be reported if growth is pure or heavy.</w:t>
      </w:r>
    </w:p>
    <w:p w:rsidR="00B25421" w:rsidRPr="00BC3AFC" w:rsidRDefault="00B25421" w:rsidP="00B25421">
      <w:pPr>
        <w:pStyle w:val="Heading3"/>
        <w:rPr>
          <w:lang w:val="en-GB"/>
        </w:rPr>
      </w:pPr>
      <w:proofErr w:type="spellStart"/>
      <w:r w:rsidRPr="00BC3AFC">
        <w:rPr>
          <w:lang w:val="en-GB"/>
        </w:rPr>
        <w:t>Uro</w:t>
      </w:r>
      <w:proofErr w:type="spellEnd"/>
      <w:r w:rsidRPr="00BC3AFC">
        <w:rPr>
          <w:lang w:val="en-GB"/>
        </w:rPr>
        <w:t>-genital tract</w:t>
      </w:r>
    </w:p>
    <w:p w:rsidR="00B25421" w:rsidRPr="00BC3AFC" w:rsidRDefault="00B25421" w:rsidP="00B25421">
      <w:pPr>
        <w:pStyle w:val="Heading4"/>
        <w:rPr>
          <w:lang w:val="en-GB"/>
        </w:rPr>
      </w:pPr>
      <w:r w:rsidRPr="00BC3AFC">
        <w:rPr>
          <w:lang w:val="en-GB"/>
        </w:rPr>
        <w:t>Urine</w:t>
      </w:r>
    </w:p>
    <w:p w:rsidR="00013AAB" w:rsidRPr="00BC3AFC" w:rsidRDefault="00013AAB" w:rsidP="000D1417">
      <w:pPr>
        <w:rPr>
          <w:lang w:val="en-GB"/>
        </w:rPr>
      </w:pPr>
      <w:r w:rsidRPr="00BC3AFC">
        <w:rPr>
          <w:lang w:val="en-GB"/>
        </w:rPr>
        <w:t>The preferred urine specimens are clean catch (young children) or mid-stream (older children): these specimens are less likely to be contaminated by skin organisms than bag specimens.</w:t>
      </w:r>
    </w:p>
    <w:p w:rsidR="00013AAB" w:rsidRPr="00BC3AFC" w:rsidRDefault="00013AAB" w:rsidP="000D1417">
      <w:pPr>
        <w:rPr>
          <w:lang w:val="en-GB"/>
        </w:rPr>
      </w:pPr>
      <w:r w:rsidRPr="00BC3AFC">
        <w:rPr>
          <w:lang w:val="en-GB"/>
        </w:rPr>
        <w:t>The laboratory processes the specimens in a quantitative manner, to enable significant growth to be detected. Urine culture results are reported as summarised in the table below.</w:t>
      </w:r>
    </w:p>
    <w:p w:rsidR="006C65C5" w:rsidRPr="00BC3AFC" w:rsidRDefault="006C65C5" w:rsidP="006C65C5">
      <w:pPr>
        <w:rPr>
          <w:lang w:val="en-GB"/>
        </w:rPr>
      </w:pPr>
      <w:proofErr w:type="gramStart"/>
      <w:r w:rsidRPr="00BC3AFC">
        <w:rPr>
          <w:lang w:val="en-GB"/>
        </w:rPr>
        <w:t xml:space="preserve">See also section </w:t>
      </w:r>
      <w:r w:rsidRPr="00BC3AFC">
        <w:rPr>
          <w:lang w:val="en-GB"/>
        </w:rPr>
        <w:fldChar w:fldCharType="begin"/>
      </w:r>
      <w:r w:rsidRPr="00BC3AFC">
        <w:rPr>
          <w:lang w:val="en-GB"/>
        </w:rPr>
        <w:instrText xml:space="preserve"> REF _Ref382398557 \r \h </w:instrText>
      </w:r>
      <w:r w:rsidRPr="00BC3AFC">
        <w:rPr>
          <w:lang w:val="en-GB"/>
        </w:rPr>
      </w:r>
      <w:r w:rsidRPr="00BC3AFC">
        <w:rPr>
          <w:lang w:val="en-GB"/>
        </w:rPr>
        <w:fldChar w:fldCharType="separate"/>
      </w:r>
      <w:r w:rsidR="00481781">
        <w:rPr>
          <w:lang w:val="en-GB"/>
        </w:rPr>
        <w:t>4.2.5</w:t>
      </w:r>
      <w:r w:rsidRPr="00BC3AFC">
        <w:rPr>
          <w:lang w:val="en-GB"/>
        </w:rPr>
        <w:fldChar w:fldCharType="end"/>
      </w:r>
      <w:r w:rsidRPr="00BC3AFC">
        <w:rPr>
          <w:lang w:val="en-GB"/>
        </w:rPr>
        <w:t xml:space="preserve">, regarding suspected </w:t>
      </w:r>
      <w:proofErr w:type="spellStart"/>
      <w:r w:rsidRPr="00BC3AFC">
        <w:rPr>
          <w:lang w:val="en-GB"/>
        </w:rPr>
        <w:t>melioidosis</w:t>
      </w:r>
      <w:proofErr w:type="spellEnd"/>
      <w:r w:rsidRPr="00BC3AFC">
        <w:rPr>
          <w:lang w:val="en-GB"/>
        </w:rPr>
        <w:t>.</w:t>
      </w:r>
      <w:proofErr w:type="gramEnd"/>
    </w:p>
    <w:tbl>
      <w:tblPr>
        <w:tblStyle w:val="LightShading"/>
        <w:tblW w:w="8755" w:type="dxa"/>
        <w:tblLayout w:type="fixed"/>
        <w:tblLook w:val="0600" w:firstRow="0" w:lastRow="0" w:firstColumn="0" w:lastColumn="0" w:noHBand="1" w:noVBand="1"/>
      </w:tblPr>
      <w:tblGrid>
        <w:gridCol w:w="2376"/>
        <w:gridCol w:w="3969"/>
        <w:gridCol w:w="2410"/>
      </w:tblGrid>
      <w:tr w:rsidR="00486E0A" w:rsidRPr="00BC3AFC" w:rsidTr="006C65C5">
        <w:trPr>
          <w:tblHeader/>
        </w:trPr>
        <w:tc>
          <w:tcPr>
            <w:tcW w:w="2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0609" w:rsidRPr="00BC3AFC" w:rsidRDefault="00F80609" w:rsidP="009A2E5E">
            <w:pPr>
              <w:spacing w:before="20" w:after="20"/>
              <w:ind w:right="500"/>
              <w:jc w:val="left"/>
              <w:rPr>
                <w:b/>
                <w:lang w:val="en-GB"/>
              </w:rPr>
            </w:pPr>
            <w:r w:rsidRPr="00BC3AFC">
              <w:rPr>
                <w:b/>
                <w:lang w:val="en-GB"/>
              </w:rPr>
              <w:t>Culture result</w:t>
            </w: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0609" w:rsidRPr="00BC3AFC" w:rsidRDefault="00F80609" w:rsidP="009A2E5E">
            <w:pPr>
              <w:spacing w:before="20" w:after="20"/>
              <w:ind w:right="500"/>
              <w:jc w:val="left"/>
              <w:rPr>
                <w:b/>
                <w:lang w:val="en-GB"/>
              </w:rPr>
            </w:pPr>
            <w:r w:rsidRPr="00BC3AFC">
              <w:rPr>
                <w:b/>
                <w:lang w:val="en-GB"/>
              </w:rPr>
              <w:t>Report</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0609" w:rsidRPr="00BC3AFC" w:rsidRDefault="00F80609" w:rsidP="009A2E5E">
            <w:pPr>
              <w:spacing w:before="20" w:after="20"/>
              <w:ind w:right="500"/>
              <w:jc w:val="left"/>
              <w:rPr>
                <w:b/>
                <w:lang w:val="en-GB"/>
              </w:rPr>
            </w:pPr>
            <w:r w:rsidRPr="00BC3AFC">
              <w:rPr>
                <w:b/>
                <w:lang w:val="en-GB"/>
              </w:rPr>
              <w:t>Interpretation</w:t>
            </w:r>
          </w:p>
        </w:tc>
      </w:tr>
      <w:tr w:rsidR="00486E0A" w:rsidRPr="00BC3AFC" w:rsidTr="006C65C5">
        <w:tc>
          <w:tcPr>
            <w:tcW w:w="2376" w:type="dxa"/>
            <w:tcBorders>
              <w:top w:val="single" w:sz="4" w:space="0" w:color="auto"/>
              <w:left w:val="single" w:sz="4" w:space="0" w:color="auto"/>
              <w:bottom w:val="single" w:sz="4" w:space="0" w:color="auto"/>
              <w:right w:val="single" w:sz="4" w:space="0" w:color="auto"/>
            </w:tcBorders>
          </w:tcPr>
          <w:p w:rsidR="00F80609" w:rsidRPr="00BC3AFC" w:rsidRDefault="00F80609" w:rsidP="009A2E5E">
            <w:pPr>
              <w:spacing w:before="20" w:after="20"/>
              <w:ind w:right="34"/>
              <w:jc w:val="left"/>
              <w:rPr>
                <w:b/>
                <w:i/>
                <w:lang w:val="en-GB"/>
              </w:rPr>
            </w:pPr>
            <w:r w:rsidRPr="00BC3AFC">
              <w:rPr>
                <w:b/>
                <w:i/>
                <w:lang w:val="en-GB"/>
              </w:rPr>
              <w:t>No bacterial growth</w:t>
            </w:r>
          </w:p>
        </w:tc>
        <w:tc>
          <w:tcPr>
            <w:tcW w:w="3969" w:type="dxa"/>
            <w:tcBorders>
              <w:top w:val="single" w:sz="4" w:space="0" w:color="auto"/>
              <w:left w:val="single" w:sz="4" w:space="0" w:color="auto"/>
              <w:bottom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No growth</w:t>
            </w:r>
          </w:p>
        </w:tc>
        <w:tc>
          <w:tcPr>
            <w:tcW w:w="2410" w:type="dxa"/>
            <w:tcBorders>
              <w:top w:val="single" w:sz="4" w:space="0" w:color="auto"/>
              <w:left w:val="single" w:sz="4" w:space="0" w:color="auto"/>
              <w:bottom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No UTI</w:t>
            </w:r>
          </w:p>
        </w:tc>
      </w:tr>
      <w:tr w:rsidR="00486E0A" w:rsidRPr="00BC3AFC" w:rsidTr="006C65C5">
        <w:tc>
          <w:tcPr>
            <w:tcW w:w="2376" w:type="dxa"/>
            <w:tcBorders>
              <w:top w:val="single" w:sz="4" w:space="0" w:color="auto"/>
              <w:left w:val="single" w:sz="4" w:space="0" w:color="auto"/>
              <w:bottom w:val="nil"/>
              <w:right w:val="single" w:sz="4" w:space="0" w:color="auto"/>
            </w:tcBorders>
          </w:tcPr>
          <w:p w:rsidR="00F80609" w:rsidRPr="00BC3AFC" w:rsidRDefault="00F80609" w:rsidP="009A2E5E">
            <w:pPr>
              <w:spacing w:before="20" w:after="20"/>
              <w:ind w:right="500"/>
              <w:jc w:val="left"/>
              <w:rPr>
                <w:b/>
                <w:i/>
                <w:lang w:val="en-GB"/>
              </w:rPr>
            </w:pPr>
            <w:r w:rsidRPr="00BC3AFC">
              <w:rPr>
                <w:b/>
                <w:i/>
                <w:lang w:val="en-GB"/>
              </w:rPr>
              <w:t>Single organism</w:t>
            </w:r>
          </w:p>
        </w:tc>
        <w:tc>
          <w:tcPr>
            <w:tcW w:w="3969" w:type="dxa"/>
            <w:tcBorders>
              <w:top w:val="single" w:sz="4" w:space="0" w:color="auto"/>
              <w:left w:val="single" w:sz="4" w:space="0" w:color="auto"/>
              <w:bottom w:val="nil"/>
              <w:right w:val="single" w:sz="4" w:space="0" w:color="auto"/>
            </w:tcBorders>
          </w:tcPr>
          <w:p w:rsidR="00F80609" w:rsidRPr="00BC3AFC" w:rsidRDefault="00F80609" w:rsidP="009A2E5E">
            <w:pPr>
              <w:spacing w:before="20" w:after="20"/>
              <w:ind w:right="500"/>
              <w:jc w:val="left"/>
              <w:rPr>
                <w:lang w:val="en-GB"/>
              </w:rPr>
            </w:pPr>
          </w:p>
        </w:tc>
        <w:tc>
          <w:tcPr>
            <w:tcW w:w="2410" w:type="dxa"/>
            <w:tcBorders>
              <w:top w:val="single" w:sz="4" w:space="0" w:color="auto"/>
              <w:left w:val="single" w:sz="4" w:space="0" w:color="auto"/>
              <w:bottom w:val="nil"/>
              <w:right w:val="single" w:sz="4" w:space="0" w:color="auto"/>
            </w:tcBorders>
          </w:tcPr>
          <w:p w:rsidR="00F80609" w:rsidRPr="00BC3AFC" w:rsidRDefault="00F80609" w:rsidP="009A2E5E">
            <w:pPr>
              <w:spacing w:before="20" w:after="20"/>
              <w:ind w:right="500"/>
              <w:jc w:val="left"/>
              <w:rPr>
                <w:lang w:val="en-GB"/>
              </w:rPr>
            </w:pPr>
          </w:p>
        </w:tc>
      </w:tr>
      <w:tr w:rsidR="00486E0A" w:rsidRPr="00BC3AFC" w:rsidTr="006C65C5">
        <w:tc>
          <w:tcPr>
            <w:tcW w:w="2376" w:type="dxa"/>
            <w:tcBorders>
              <w:top w:val="nil"/>
              <w:left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&lt;10</w:t>
            </w:r>
            <w:r w:rsidRPr="00BC3AFC">
              <w:rPr>
                <w:vertAlign w:val="superscript"/>
                <w:lang w:val="en-GB"/>
              </w:rPr>
              <w:t xml:space="preserve">4 </w:t>
            </w:r>
            <w:r w:rsidRPr="00BC3AFC">
              <w:rPr>
                <w:lang w:val="en-GB"/>
              </w:rPr>
              <w:t>CFU/ml</w:t>
            </w:r>
          </w:p>
        </w:tc>
        <w:tc>
          <w:tcPr>
            <w:tcW w:w="3969" w:type="dxa"/>
            <w:tcBorders>
              <w:top w:val="nil"/>
              <w:left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No significant growth</w:t>
            </w:r>
          </w:p>
        </w:tc>
        <w:tc>
          <w:tcPr>
            <w:tcW w:w="2410" w:type="dxa"/>
            <w:tcBorders>
              <w:top w:val="nil"/>
              <w:left w:val="single" w:sz="4" w:space="0" w:color="auto"/>
              <w:right w:val="single" w:sz="4" w:space="0" w:color="auto"/>
            </w:tcBorders>
          </w:tcPr>
          <w:p w:rsidR="00F80609" w:rsidRPr="00BC3AFC" w:rsidRDefault="00486E0A" w:rsidP="009A2E5E">
            <w:pPr>
              <w:spacing w:before="20" w:after="20"/>
              <w:ind w:right="500"/>
              <w:jc w:val="left"/>
              <w:rPr>
                <w:lang w:val="en-GB"/>
              </w:rPr>
            </w:pPr>
            <w:r w:rsidRPr="00BC3AFC">
              <w:rPr>
                <w:lang w:val="en-GB"/>
              </w:rPr>
              <w:t>No UTI</w:t>
            </w:r>
          </w:p>
        </w:tc>
      </w:tr>
      <w:tr w:rsidR="00486E0A" w:rsidRPr="00BC3AFC" w:rsidTr="006C65C5">
        <w:tc>
          <w:tcPr>
            <w:tcW w:w="2376" w:type="dxa"/>
            <w:tcBorders>
              <w:left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10</w:t>
            </w:r>
            <w:r w:rsidRPr="00BC3AFC">
              <w:rPr>
                <w:vertAlign w:val="superscript"/>
                <w:lang w:val="en-GB"/>
              </w:rPr>
              <w:t xml:space="preserve">4 </w:t>
            </w:r>
            <w:r w:rsidRPr="00BC3AFC">
              <w:rPr>
                <w:lang w:val="en-GB"/>
              </w:rPr>
              <w:t>-10</w:t>
            </w:r>
            <w:r w:rsidRPr="00BC3AFC">
              <w:rPr>
                <w:vertAlign w:val="superscript"/>
                <w:lang w:val="en-GB"/>
              </w:rPr>
              <w:t>5</w:t>
            </w:r>
            <w:r w:rsidRPr="00BC3AFC">
              <w:rPr>
                <w:lang w:val="en-GB"/>
              </w:rPr>
              <w:t xml:space="preserve"> CFU/ml</w:t>
            </w:r>
            <w:r w:rsidRPr="00BC3AFC">
              <w:rPr>
                <w:lang w:val="en-GB"/>
              </w:rPr>
              <w:tab/>
            </w:r>
          </w:p>
        </w:tc>
        <w:tc>
          <w:tcPr>
            <w:tcW w:w="3969" w:type="dxa"/>
            <w:tcBorders>
              <w:left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Growth of 10</w:t>
            </w:r>
            <w:r w:rsidRPr="00BC3AFC">
              <w:rPr>
                <w:vertAlign w:val="superscript"/>
                <w:lang w:val="en-GB"/>
              </w:rPr>
              <w:t xml:space="preserve">4 </w:t>
            </w:r>
            <w:r w:rsidRPr="00BC3AFC">
              <w:rPr>
                <w:lang w:val="en-GB"/>
              </w:rPr>
              <w:t>-10</w:t>
            </w:r>
            <w:r w:rsidRPr="00BC3AFC">
              <w:rPr>
                <w:vertAlign w:val="superscript"/>
                <w:lang w:val="en-GB"/>
              </w:rPr>
              <w:t>5</w:t>
            </w:r>
            <w:r w:rsidRPr="00BC3AFC">
              <w:rPr>
                <w:lang w:val="en-GB"/>
              </w:rPr>
              <w:t xml:space="preserve"> cfu/ml </w:t>
            </w:r>
            <w:r w:rsidR="006C65C5" w:rsidRPr="00BC3AFC">
              <w:rPr>
                <w:lang w:val="en-GB"/>
              </w:rPr>
              <w:t>of…</w:t>
            </w:r>
          </w:p>
          <w:p w:rsidR="00F80609" w:rsidRPr="00BC3AFC" w:rsidRDefault="00F80609" w:rsidP="009A2E5E">
            <w:pPr>
              <w:spacing w:before="20" w:after="20"/>
              <w:ind w:right="500"/>
              <w:jc w:val="left"/>
              <w:rPr>
                <w:i/>
                <w:lang w:val="en-GB"/>
              </w:rPr>
            </w:pPr>
            <w:r w:rsidRPr="00BC3AFC">
              <w:rPr>
                <w:i/>
                <w:lang w:val="en-GB"/>
              </w:rPr>
              <w:t>Antimicrobial sensitivities reported</w:t>
            </w:r>
          </w:p>
        </w:tc>
        <w:tc>
          <w:tcPr>
            <w:tcW w:w="2410" w:type="dxa"/>
            <w:tcBorders>
              <w:left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Possible UTI</w:t>
            </w:r>
          </w:p>
        </w:tc>
      </w:tr>
      <w:tr w:rsidR="00486E0A" w:rsidRPr="00BC3AFC" w:rsidTr="006C65C5">
        <w:tc>
          <w:tcPr>
            <w:tcW w:w="2376" w:type="dxa"/>
            <w:tcBorders>
              <w:left w:val="single" w:sz="4" w:space="0" w:color="auto"/>
              <w:bottom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&gt;10</w:t>
            </w:r>
            <w:r w:rsidRPr="00BC3AFC">
              <w:rPr>
                <w:vertAlign w:val="superscript"/>
                <w:lang w:val="en-GB"/>
              </w:rPr>
              <w:t>5</w:t>
            </w:r>
            <w:r w:rsidRPr="00BC3AFC">
              <w:rPr>
                <w:lang w:val="en-GB"/>
              </w:rPr>
              <w:t xml:space="preserve"> CFU/ml</w:t>
            </w:r>
          </w:p>
        </w:tc>
        <w:tc>
          <w:tcPr>
            <w:tcW w:w="3969" w:type="dxa"/>
            <w:tcBorders>
              <w:left w:val="single" w:sz="4" w:space="0" w:color="auto"/>
              <w:bottom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Growth of &gt;10</w:t>
            </w:r>
            <w:r w:rsidRPr="00BC3AFC">
              <w:rPr>
                <w:vertAlign w:val="superscript"/>
                <w:lang w:val="en-GB"/>
              </w:rPr>
              <w:t>5</w:t>
            </w:r>
            <w:r w:rsidR="006C65C5" w:rsidRPr="00BC3AFC">
              <w:rPr>
                <w:lang w:val="en-GB"/>
              </w:rPr>
              <w:t xml:space="preserve"> cfu/ml of…</w:t>
            </w:r>
          </w:p>
          <w:p w:rsidR="00F80609" w:rsidRPr="00BC3AFC" w:rsidRDefault="00F80609" w:rsidP="009A2E5E">
            <w:pPr>
              <w:spacing w:before="20" w:after="20"/>
              <w:ind w:right="500"/>
              <w:jc w:val="left"/>
              <w:rPr>
                <w:i/>
                <w:lang w:val="en-GB"/>
              </w:rPr>
            </w:pPr>
            <w:r w:rsidRPr="00BC3AFC">
              <w:rPr>
                <w:i/>
                <w:lang w:val="en-GB"/>
              </w:rPr>
              <w:t>Antimicrobial sensitivities reported</w:t>
            </w:r>
          </w:p>
        </w:tc>
        <w:tc>
          <w:tcPr>
            <w:tcW w:w="2410" w:type="dxa"/>
            <w:tcBorders>
              <w:left w:val="single" w:sz="4" w:space="0" w:color="auto"/>
              <w:bottom w:val="single" w:sz="4" w:space="0" w:color="auto"/>
              <w:right w:val="single" w:sz="4" w:space="0" w:color="auto"/>
            </w:tcBorders>
          </w:tcPr>
          <w:p w:rsidR="00F80609" w:rsidRPr="00BC3AFC" w:rsidRDefault="00486E0A" w:rsidP="009A2E5E">
            <w:pPr>
              <w:spacing w:before="20" w:after="20"/>
              <w:ind w:right="500"/>
              <w:jc w:val="left"/>
              <w:rPr>
                <w:lang w:val="en-GB"/>
              </w:rPr>
            </w:pPr>
            <w:r w:rsidRPr="00BC3AFC">
              <w:rPr>
                <w:lang w:val="en-GB"/>
              </w:rPr>
              <w:t>UTI</w:t>
            </w:r>
          </w:p>
        </w:tc>
      </w:tr>
      <w:tr w:rsidR="00486E0A" w:rsidRPr="00BC3AFC" w:rsidTr="006C65C5">
        <w:tc>
          <w:tcPr>
            <w:tcW w:w="2376" w:type="dxa"/>
            <w:tcBorders>
              <w:top w:val="single" w:sz="4" w:space="0" w:color="auto"/>
              <w:left w:val="single" w:sz="4" w:space="0" w:color="auto"/>
              <w:bottom w:val="nil"/>
              <w:right w:val="single" w:sz="4" w:space="0" w:color="auto"/>
            </w:tcBorders>
          </w:tcPr>
          <w:p w:rsidR="00F80609" w:rsidRPr="00BC3AFC" w:rsidRDefault="00F80609" w:rsidP="009A2E5E">
            <w:pPr>
              <w:spacing w:before="20" w:after="20"/>
              <w:ind w:right="500"/>
              <w:jc w:val="left"/>
              <w:rPr>
                <w:b/>
                <w:i/>
                <w:lang w:val="en-GB"/>
              </w:rPr>
            </w:pPr>
            <w:r w:rsidRPr="00BC3AFC">
              <w:rPr>
                <w:b/>
                <w:i/>
                <w:lang w:val="en-GB"/>
              </w:rPr>
              <w:t>Two organisms</w:t>
            </w:r>
          </w:p>
        </w:tc>
        <w:tc>
          <w:tcPr>
            <w:tcW w:w="3969" w:type="dxa"/>
            <w:tcBorders>
              <w:top w:val="single" w:sz="4" w:space="0" w:color="auto"/>
              <w:left w:val="single" w:sz="4" w:space="0" w:color="auto"/>
              <w:bottom w:val="nil"/>
              <w:right w:val="single" w:sz="4" w:space="0" w:color="auto"/>
            </w:tcBorders>
          </w:tcPr>
          <w:p w:rsidR="00F80609" w:rsidRPr="00BC3AFC" w:rsidRDefault="00F80609" w:rsidP="009A2E5E">
            <w:pPr>
              <w:spacing w:before="20" w:after="20"/>
              <w:ind w:right="500"/>
              <w:jc w:val="left"/>
              <w:rPr>
                <w:lang w:val="en-GB"/>
              </w:rPr>
            </w:pPr>
          </w:p>
        </w:tc>
        <w:tc>
          <w:tcPr>
            <w:tcW w:w="2410" w:type="dxa"/>
            <w:tcBorders>
              <w:top w:val="single" w:sz="4" w:space="0" w:color="auto"/>
              <w:left w:val="single" w:sz="4" w:space="0" w:color="auto"/>
              <w:bottom w:val="nil"/>
              <w:right w:val="single" w:sz="4" w:space="0" w:color="auto"/>
            </w:tcBorders>
          </w:tcPr>
          <w:p w:rsidR="00F80609" w:rsidRPr="00BC3AFC" w:rsidRDefault="00F80609" w:rsidP="009A2E5E">
            <w:pPr>
              <w:spacing w:before="20" w:after="20"/>
              <w:ind w:right="500"/>
              <w:jc w:val="left"/>
              <w:rPr>
                <w:lang w:val="en-GB"/>
              </w:rPr>
            </w:pPr>
          </w:p>
        </w:tc>
      </w:tr>
      <w:tr w:rsidR="00486E0A" w:rsidRPr="00BC3AFC" w:rsidTr="006C65C5">
        <w:tc>
          <w:tcPr>
            <w:tcW w:w="2376" w:type="dxa"/>
            <w:tcBorders>
              <w:top w:val="nil"/>
              <w:left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Both &lt;10</w:t>
            </w:r>
            <w:r w:rsidRPr="00BC3AFC">
              <w:rPr>
                <w:vertAlign w:val="superscript"/>
                <w:lang w:val="en-GB"/>
              </w:rPr>
              <w:t xml:space="preserve">5 </w:t>
            </w:r>
            <w:r w:rsidRPr="00BC3AFC">
              <w:rPr>
                <w:lang w:val="en-GB"/>
              </w:rPr>
              <w:t>CFU/ml</w:t>
            </w:r>
          </w:p>
        </w:tc>
        <w:tc>
          <w:tcPr>
            <w:tcW w:w="3969" w:type="dxa"/>
            <w:tcBorders>
              <w:top w:val="nil"/>
              <w:left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No significant growth</w:t>
            </w:r>
          </w:p>
        </w:tc>
        <w:tc>
          <w:tcPr>
            <w:tcW w:w="2410" w:type="dxa"/>
            <w:tcBorders>
              <w:top w:val="nil"/>
              <w:left w:val="single" w:sz="4" w:space="0" w:color="auto"/>
              <w:right w:val="single" w:sz="4" w:space="0" w:color="auto"/>
            </w:tcBorders>
          </w:tcPr>
          <w:p w:rsidR="00F80609" w:rsidRPr="00BC3AFC" w:rsidRDefault="00486E0A" w:rsidP="009A2E5E">
            <w:pPr>
              <w:spacing w:before="20" w:after="20"/>
              <w:ind w:right="500"/>
              <w:jc w:val="left"/>
              <w:rPr>
                <w:lang w:val="en-GB"/>
              </w:rPr>
            </w:pPr>
            <w:r w:rsidRPr="00BC3AFC">
              <w:rPr>
                <w:lang w:val="en-GB"/>
              </w:rPr>
              <w:t>No UTI</w:t>
            </w:r>
          </w:p>
        </w:tc>
      </w:tr>
      <w:tr w:rsidR="00486E0A" w:rsidRPr="00BC3AFC" w:rsidTr="006C65C5">
        <w:tc>
          <w:tcPr>
            <w:tcW w:w="2376" w:type="dxa"/>
            <w:tcBorders>
              <w:left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One &gt;10</w:t>
            </w:r>
            <w:r w:rsidRPr="00BC3AFC">
              <w:rPr>
                <w:vertAlign w:val="superscript"/>
                <w:lang w:val="en-GB"/>
              </w:rPr>
              <w:t xml:space="preserve">5 </w:t>
            </w:r>
            <w:r w:rsidRPr="00BC3AFC">
              <w:rPr>
                <w:lang w:val="en-GB"/>
              </w:rPr>
              <w:t>CFU/ml</w:t>
            </w:r>
          </w:p>
        </w:tc>
        <w:tc>
          <w:tcPr>
            <w:tcW w:w="3969" w:type="dxa"/>
            <w:tcBorders>
              <w:left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Mixed growth incl</w:t>
            </w:r>
            <w:r w:rsidR="00486E0A" w:rsidRPr="00BC3AFC">
              <w:rPr>
                <w:lang w:val="en-GB"/>
              </w:rPr>
              <w:t>.</w:t>
            </w:r>
            <w:r w:rsidRPr="00BC3AFC">
              <w:rPr>
                <w:lang w:val="en-GB"/>
              </w:rPr>
              <w:t xml:space="preserve"> &gt;10</w:t>
            </w:r>
            <w:r w:rsidRPr="00BC3AFC">
              <w:rPr>
                <w:vertAlign w:val="superscript"/>
                <w:lang w:val="en-GB"/>
              </w:rPr>
              <w:t>5</w:t>
            </w:r>
            <w:r w:rsidRPr="00BC3AFC">
              <w:rPr>
                <w:lang w:val="en-GB"/>
              </w:rPr>
              <w:t xml:space="preserve">cfu/ml </w:t>
            </w:r>
            <w:r w:rsidR="006C65C5" w:rsidRPr="00BC3AFC">
              <w:rPr>
                <w:lang w:val="en-GB"/>
              </w:rPr>
              <w:t>of...</w:t>
            </w:r>
          </w:p>
          <w:p w:rsidR="00F80609" w:rsidRPr="00BC3AFC" w:rsidRDefault="00F80609" w:rsidP="00676CC9">
            <w:pPr>
              <w:spacing w:before="20" w:after="20"/>
              <w:ind w:right="500"/>
              <w:jc w:val="left"/>
              <w:rPr>
                <w:i/>
                <w:lang w:val="en-GB"/>
              </w:rPr>
            </w:pPr>
            <w:r w:rsidRPr="00BC3AFC">
              <w:rPr>
                <w:i/>
                <w:lang w:val="en-GB"/>
              </w:rPr>
              <w:t>Antimicrobial sensitivities reported</w:t>
            </w:r>
            <w:r w:rsidR="00676CC9" w:rsidRPr="00BC3AFC">
              <w:rPr>
                <w:i/>
                <w:lang w:val="en-GB"/>
              </w:rPr>
              <w:t xml:space="preserve"> for</w:t>
            </w:r>
            <w:r w:rsidRPr="00BC3AFC">
              <w:rPr>
                <w:i/>
                <w:lang w:val="en-GB"/>
              </w:rPr>
              <w:t xml:space="preserve"> the </w:t>
            </w:r>
            <w:r w:rsidR="00676CC9" w:rsidRPr="00BC3AFC">
              <w:rPr>
                <w:i/>
                <w:lang w:val="en-GB"/>
              </w:rPr>
              <w:t>dominant organism only</w:t>
            </w:r>
          </w:p>
        </w:tc>
        <w:tc>
          <w:tcPr>
            <w:tcW w:w="2410" w:type="dxa"/>
            <w:tcBorders>
              <w:left w:val="single" w:sz="4" w:space="0" w:color="auto"/>
              <w:right w:val="single" w:sz="4" w:space="0" w:color="auto"/>
            </w:tcBorders>
          </w:tcPr>
          <w:p w:rsidR="00F80609" w:rsidRPr="00BC3AFC" w:rsidRDefault="00486E0A" w:rsidP="009A2E5E">
            <w:pPr>
              <w:spacing w:before="20" w:after="20"/>
              <w:ind w:right="500"/>
              <w:jc w:val="left"/>
              <w:rPr>
                <w:lang w:val="en-GB"/>
              </w:rPr>
            </w:pPr>
            <w:r w:rsidRPr="00BC3AFC">
              <w:rPr>
                <w:lang w:val="en-GB"/>
              </w:rPr>
              <w:t>Possible UTI or contaminated specimen</w:t>
            </w:r>
          </w:p>
        </w:tc>
      </w:tr>
      <w:tr w:rsidR="00486E0A" w:rsidRPr="00BC3AFC" w:rsidTr="006C65C5">
        <w:tc>
          <w:tcPr>
            <w:tcW w:w="2376" w:type="dxa"/>
            <w:tcBorders>
              <w:left w:val="single" w:sz="4" w:space="0" w:color="auto"/>
              <w:bottom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Both &gt;10</w:t>
            </w:r>
            <w:r w:rsidRPr="00BC3AFC">
              <w:rPr>
                <w:vertAlign w:val="superscript"/>
                <w:lang w:val="en-GB"/>
              </w:rPr>
              <w:t xml:space="preserve">5 </w:t>
            </w:r>
            <w:r w:rsidRPr="00BC3AFC">
              <w:rPr>
                <w:lang w:val="en-GB"/>
              </w:rPr>
              <w:t>CFU/ml</w:t>
            </w:r>
          </w:p>
        </w:tc>
        <w:tc>
          <w:tcPr>
            <w:tcW w:w="3969" w:type="dxa"/>
            <w:tcBorders>
              <w:left w:val="single" w:sz="4" w:space="0" w:color="auto"/>
              <w:bottom w:val="single" w:sz="4" w:space="0" w:color="auto"/>
              <w:right w:val="single" w:sz="4" w:space="0" w:color="auto"/>
            </w:tcBorders>
          </w:tcPr>
          <w:p w:rsidR="00F80609" w:rsidRPr="00BC3AFC" w:rsidRDefault="00F80609" w:rsidP="009A2E5E">
            <w:pPr>
              <w:spacing w:before="20" w:after="20"/>
              <w:jc w:val="left"/>
              <w:rPr>
                <w:lang w:val="en-GB"/>
              </w:rPr>
            </w:pPr>
            <w:r w:rsidRPr="00BC3AFC">
              <w:rPr>
                <w:lang w:val="en-GB"/>
              </w:rPr>
              <w:t>Mixed growth of &gt;10</w:t>
            </w:r>
            <w:r w:rsidRPr="00BC3AFC">
              <w:rPr>
                <w:vertAlign w:val="superscript"/>
                <w:lang w:val="en-GB"/>
              </w:rPr>
              <w:t>5</w:t>
            </w:r>
            <w:r w:rsidR="006C65C5" w:rsidRPr="00BC3AFC">
              <w:rPr>
                <w:lang w:val="en-GB"/>
              </w:rPr>
              <w:t>cfu/ml of...</w:t>
            </w:r>
          </w:p>
          <w:p w:rsidR="00F80609" w:rsidRPr="00BC3AFC" w:rsidRDefault="00F80609" w:rsidP="00486E0A">
            <w:pPr>
              <w:spacing w:before="20" w:after="20"/>
              <w:ind w:right="500"/>
              <w:jc w:val="left"/>
              <w:rPr>
                <w:i/>
                <w:lang w:val="en-GB"/>
              </w:rPr>
            </w:pPr>
            <w:r w:rsidRPr="00BC3AFC">
              <w:rPr>
                <w:i/>
                <w:lang w:val="en-GB"/>
              </w:rPr>
              <w:t>A</w:t>
            </w:r>
            <w:r w:rsidR="00486E0A" w:rsidRPr="00BC3AFC">
              <w:rPr>
                <w:i/>
                <w:lang w:val="en-GB"/>
              </w:rPr>
              <w:t>ll a</w:t>
            </w:r>
            <w:r w:rsidRPr="00BC3AFC">
              <w:rPr>
                <w:i/>
                <w:lang w:val="en-GB"/>
              </w:rPr>
              <w:t>ntimicrobial sensitivities reported</w:t>
            </w:r>
          </w:p>
        </w:tc>
        <w:tc>
          <w:tcPr>
            <w:tcW w:w="2410" w:type="dxa"/>
            <w:tcBorders>
              <w:left w:val="single" w:sz="4" w:space="0" w:color="auto"/>
              <w:bottom w:val="single" w:sz="4" w:space="0" w:color="auto"/>
              <w:right w:val="single" w:sz="4" w:space="0" w:color="auto"/>
            </w:tcBorders>
          </w:tcPr>
          <w:p w:rsidR="00F80609" w:rsidRPr="00BC3AFC" w:rsidRDefault="00486E0A" w:rsidP="009A2E5E">
            <w:pPr>
              <w:spacing w:before="20" w:after="20"/>
              <w:jc w:val="left"/>
              <w:rPr>
                <w:lang w:val="en-GB"/>
              </w:rPr>
            </w:pPr>
            <w:r w:rsidRPr="00BC3AFC">
              <w:rPr>
                <w:lang w:val="en-GB"/>
              </w:rPr>
              <w:t>Possible UTI or contaminated specimen</w:t>
            </w:r>
          </w:p>
        </w:tc>
      </w:tr>
      <w:tr w:rsidR="00486E0A" w:rsidRPr="00BC3AFC" w:rsidTr="006C65C5">
        <w:tc>
          <w:tcPr>
            <w:tcW w:w="2376" w:type="dxa"/>
            <w:tcBorders>
              <w:top w:val="single" w:sz="4" w:space="0" w:color="auto"/>
              <w:left w:val="single" w:sz="4" w:space="0" w:color="auto"/>
              <w:bottom w:val="single" w:sz="4" w:space="0" w:color="auto"/>
              <w:right w:val="single" w:sz="4" w:space="0" w:color="auto"/>
            </w:tcBorders>
          </w:tcPr>
          <w:p w:rsidR="00F80609" w:rsidRPr="00BC3AFC" w:rsidRDefault="00F80609" w:rsidP="009A2E5E">
            <w:pPr>
              <w:spacing w:before="20" w:after="20"/>
              <w:ind w:right="500"/>
              <w:jc w:val="left"/>
              <w:rPr>
                <w:b/>
                <w:i/>
                <w:lang w:val="en-GB"/>
              </w:rPr>
            </w:pPr>
            <w:r w:rsidRPr="00BC3AFC">
              <w:rPr>
                <w:b/>
                <w:i/>
                <w:iCs/>
                <w:lang w:val="en-GB"/>
              </w:rPr>
              <w:t>&gt;2 organisms</w:t>
            </w:r>
          </w:p>
        </w:tc>
        <w:tc>
          <w:tcPr>
            <w:tcW w:w="3969" w:type="dxa"/>
            <w:tcBorders>
              <w:top w:val="single" w:sz="4" w:space="0" w:color="auto"/>
              <w:left w:val="single" w:sz="4" w:space="0" w:color="auto"/>
              <w:bottom w:val="single" w:sz="4" w:space="0" w:color="auto"/>
              <w:right w:val="single" w:sz="4" w:space="0" w:color="auto"/>
            </w:tcBorders>
          </w:tcPr>
          <w:p w:rsidR="00F80609" w:rsidRPr="00BC3AFC" w:rsidRDefault="00F80609" w:rsidP="009A2E5E">
            <w:pPr>
              <w:spacing w:before="20" w:after="20"/>
              <w:ind w:right="500"/>
              <w:jc w:val="left"/>
              <w:rPr>
                <w:lang w:val="en-GB"/>
              </w:rPr>
            </w:pPr>
            <w:r w:rsidRPr="00BC3AFC">
              <w:rPr>
                <w:lang w:val="en-GB"/>
              </w:rPr>
              <w:t>Mixed growth of &gt;2 organism</w:t>
            </w:r>
            <w:r w:rsidR="00486E0A" w:rsidRPr="00BC3AFC">
              <w:rPr>
                <w:lang w:val="en-GB"/>
              </w:rPr>
              <w:t>s</w:t>
            </w:r>
          </w:p>
          <w:p w:rsidR="00F80609" w:rsidRPr="00BC3AFC" w:rsidRDefault="00F80609" w:rsidP="009A2E5E">
            <w:pPr>
              <w:spacing w:before="20" w:after="20"/>
              <w:ind w:right="500"/>
              <w:jc w:val="left"/>
              <w:rPr>
                <w:i/>
                <w:lang w:val="en-GB"/>
              </w:rPr>
            </w:pPr>
            <w:r w:rsidRPr="00BC3AFC">
              <w:rPr>
                <w:i/>
                <w:lang w:val="en-GB"/>
              </w:rPr>
              <w:t>Antimicrobial sensitivities not reported</w:t>
            </w:r>
          </w:p>
        </w:tc>
        <w:tc>
          <w:tcPr>
            <w:tcW w:w="2410" w:type="dxa"/>
            <w:tcBorders>
              <w:top w:val="single" w:sz="4" w:space="0" w:color="auto"/>
              <w:left w:val="single" w:sz="4" w:space="0" w:color="auto"/>
              <w:bottom w:val="single" w:sz="4" w:space="0" w:color="auto"/>
              <w:right w:val="single" w:sz="4" w:space="0" w:color="auto"/>
            </w:tcBorders>
          </w:tcPr>
          <w:p w:rsidR="00F80609" w:rsidRPr="00BC3AFC" w:rsidRDefault="00486E0A" w:rsidP="009A2E5E">
            <w:pPr>
              <w:spacing w:before="20" w:after="20"/>
              <w:ind w:right="500"/>
              <w:jc w:val="left"/>
              <w:rPr>
                <w:lang w:val="en-GB"/>
              </w:rPr>
            </w:pPr>
            <w:r w:rsidRPr="00BC3AFC">
              <w:rPr>
                <w:lang w:val="en-GB"/>
              </w:rPr>
              <w:t>Contaminated specimen</w:t>
            </w:r>
          </w:p>
        </w:tc>
      </w:tr>
    </w:tbl>
    <w:p w:rsidR="00B25421" w:rsidRPr="00BC3AFC" w:rsidRDefault="00B25421" w:rsidP="00B25421">
      <w:pPr>
        <w:pStyle w:val="Heading4"/>
        <w:rPr>
          <w:lang w:val="en-GB"/>
        </w:rPr>
      </w:pPr>
      <w:r w:rsidRPr="00BC3AFC">
        <w:rPr>
          <w:lang w:val="en-GB"/>
        </w:rPr>
        <w:t>Investigation of suspected sexual abuse</w:t>
      </w:r>
    </w:p>
    <w:p w:rsidR="006C65C5" w:rsidRPr="00BC3AFC" w:rsidRDefault="006C65C5" w:rsidP="006C65C5">
      <w:pPr>
        <w:rPr>
          <w:lang w:val="en-GB"/>
        </w:rPr>
      </w:pPr>
      <w:r w:rsidRPr="00BC3AFC">
        <w:rPr>
          <w:lang w:val="en-GB"/>
        </w:rPr>
        <w:t xml:space="preserve">For males, a urethral and rectal swab (if anal penetration is suspected) should be sent for </w:t>
      </w:r>
      <w:r w:rsidRPr="00BC3AFC">
        <w:rPr>
          <w:i/>
          <w:lang w:val="en-GB"/>
        </w:rPr>
        <w:t xml:space="preserve">Neisseria gonorrhoeae </w:t>
      </w:r>
      <w:r w:rsidRPr="00BC3AFC">
        <w:rPr>
          <w:lang w:val="en-GB"/>
        </w:rPr>
        <w:t xml:space="preserve">culture. </w:t>
      </w:r>
      <w:r w:rsidR="00BC3AFC" w:rsidRPr="00BC3AFC">
        <w:rPr>
          <w:lang w:val="en-GB"/>
        </w:rPr>
        <w:t xml:space="preserve">Other organisms will not be identified. </w:t>
      </w:r>
      <w:r w:rsidRPr="00BC3AFC">
        <w:rPr>
          <w:lang w:val="en-GB"/>
        </w:rPr>
        <w:t xml:space="preserve">A urine specimen may also be sent for </w:t>
      </w:r>
      <w:r w:rsidRPr="00BC3AFC">
        <w:rPr>
          <w:i/>
          <w:lang w:val="en-GB"/>
        </w:rPr>
        <w:t xml:space="preserve">N. gonorrhoeae </w:t>
      </w:r>
      <w:r w:rsidRPr="00BC3AFC">
        <w:rPr>
          <w:lang w:val="en-GB"/>
        </w:rPr>
        <w:t xml:space="preserve">and </w:t>
      </w:r>
      <w:r w:rsidRPr="00BC3AFC">
        <w:rPr>
          <w:i/>
          <w:lang w:val="en-GB"/>
        </w:rPr>
        <w:t xml:space="preserve">Chlamydia trachomatis </w:t>
      </w:r>
      <w:r w:rsidRPr="00BC3AFC">
        <w:rPr>
          <w:lang w:val="en-GB"/>
        </w:rPr>
        <w:t>testing by GeneXpert PCR.</w:t>
      </w:r>
    </w:p>
    <w:p w:rsidR="006C65C5" w:rsidRPr="00BC3AFC" w:rsidRDefault="006C65C5" w:rsidP="006C65C5">
      <w:pPr>
        <w:rPr>
          <w:lang w:val="en-GB"/>
        </w:rPr>
      </w:pPr>
      <w:r w:rsidRPr="00BC3AFC">
        <w:rPr>
          <w:lang w:val="en-GB"/>
        </w:rPr>
        <w:t xml:space="preserve">For females, </w:t>
      </w:r>
      <w:r w:rsidR="001D624B" w:rsidRPr="00BC3AFC">
        <w:rPr>
          <w:lang w:val="en-GB"/>
        </w:rPr>
        <w:t xml:space="preserve">a </w:t>
      </w:r>
      <w:r w:rsidRPr="00BC3AFC">
        <w:rPr>
          <w:lang w:val="en-GB"/>
        </w:rPr>
        <w:t xml:space="preserve">vaginal swab should be sent for culture. In addition to </w:t>
      </w:r>
      <w:r w:rsidRPr="00BC3AFC">
        <w:rPr>
          <w:i/>
          <w:lang w:val="en-GB"/>
        </w:rPr>
        <w:t>N. gonorrhoeae</w:t>
      </w:r>
      <w:r w:rsidRPr="00BC3AFC">
        <w:rPr>
          <w:lang w:val="en-GB"/>
        </w:rPr>
        <w:t xml:space="preserve">, the laboratory will report the presence of other potential causes of discharge such as </w:t>
      </w:r>
      <w:r w:rsidRPr="00BC3AFC">
        <w:rPr>
          <w:i/>
          <w:lang w:val="en-GB"/>
        </w:rPr>
        <w:t>Candida</w:t>
      </w:r>
      <w:r w:rsidRPr="00BC3AFC">
        <w:rPr>
          <w:lang w:val="en-GB"/>
        </w:rPr>
        <w:t xml:space="preserve"> spp. If other organisms are identified in heavy or pure culture (e.g. Group </w:t>
      </w:r>
      <w:proofErr w:type="gramStart"/>
      <w:r w:rsidRPr="00BC3AFC">
        <w:rPr>
          <w:lang w:val="en-GB"/>
        </w:rPr>
        <w:t>A</w:t>
      </w:r>
      <w:proofErr w:type="gramEnd"/>
      <w:r w:rsidRPr="00BC3AFC">
        <w:rPr>
          <w:lang w:val="en-GB"/>
        </w:rPr>
        <w:t xml:space="preserve"> Streptococcus, </w:t>
      </w:r>
      <w:r w:rsidRPr="00BC3AFC">
        <w:rPr>
          <w:i/>
          <w:lang w:val="en-GB"/>
        </w:rPr>
        <w:t>Staphylococcus aureus</w:t>
      </w:r>
      <w:r w:rsidRPr="00BC3AFC">
        <w:rPr>
          <w:lang w:val="en-GB"/>
        </w:rPr>
        <w:t xml:space="preserve">, respiratory organisms), they will be reported along with antimicrobial susceptibility results. A second vaginal swab may be submitted for </w:t>
      </w:r>
      <w:r w:rsidRPr="00BC3AFC">
        <w:rPr>
          <w:i/>
          <w:lang w:val="en-GB"/>
        </w:rPr>
        <w:t xml:space="preserve">N. gonorrhoeae </w:t>
      </w:r>
      <w:r w:rsidRPr="00BC3AFC">
        <w:rPr>
          <w:lang w:val="en-GB"/>
        </w:rPr>
        <w:t xml:space="preserve">and </w:t>
      </w:r>
      <w:r w:rsidRPr="00BC3AFC">
        <w:rPr>
          <w:i/>
          <w:lang w:val="en-GB"/>
        </w:rPr>
        <w:t xml:space="preserve">Chlamydia trachomatis </w:t>
      </w:r>
      <w:r w:rsidRPr="00BC3AFC">
        <w:rPr>
          <w:lang w:val="en-GB"/>
        </w:rPr>
        <w:t>testing by GeneXpert PCR.</w:t>
      </w:r>
    </w:p>
    <w:p w:rsidR="00B25421" w:rsidRPr="00BC3AFC" w:rsidRDefault="00B25421" w:rsidP="00B25421">
      <w:pPr>
        <w:pStyle w:val="Heading3"/>
        <w:rPr>
          <w:lang w:val="en-GB"/>
        </w:rPr>
      </w:pPr>
      <w:bookmarkStart w:id="1" w:name="_Ref382398557"/>
      <w:r w:rsidRPr="00BC3AFC">
        <w:rPr>
          <w:lang w:val="en-GB"/>
        </w:rPr>
        <w:t>Melio</w:t>
      </w:r>
      <w:r w:rsidR="009B58E3" w:rsidRPr="00BC3AFC">
        <w:rPr>
          <w:lang w:val="en-GB"/>
        </w:rPr>
        <w:t>i</w:t>
      </w:r>
      <w:r w:rsidRPr="00BC3AFC">
        <w:rPr>
          <w:lang w:val="en-GB"/>
        </w:rPr>
        <w:t>dosis</w:t>
      </w:r>
      <w:bookmarkEnd w:id="1"/>
    </w:p>
    <w:p w:rsidR="00E73029" w:rsidRPr="00BC3AFC" w:rsidRDefault="00827443" w:rsidP="00E73029">
      <w:pPr>
        <w:rPr>
          <w:lang w:val="en-GB"/>
        </w:rPr>
      </w:pPr>
      <w:r w:rsidRPr="00BC3AFC">
        <w:rPr>
          <w:lang w:val="en-GB"/>
        </w:rPr>
        <w:t xml:space="preserve">In addition to standard bacterial culture, </w:t>
      </w:r>
      <w:r w:rsidR="00E73029" w:rsidRPr="00BC3AFC">
        <w:rPr>
          <w:i/>
          <w:lang w:val="en-GB"/>
        </w:rPr>
        <w:t>Burkholderia pseudomallei</w:t>
      </w:r>
      <w:r w:rsidRPr="00BC3AFC">
        <w:rPr>
          <w:lang w:val="en-GB"/>
        </w:rPr>
        <w:t xml:space="preserve"> selective cultures can</w:t>
      </w:r>
      <w:r w:rsidR="003B2AAC" w:rsidRPr="00BC3AFC">
        <w:rPr>
          <w:lang w:val="en-GB"/>
        </w:rPr>
        <w:t xml:space="preserve"> be set up </w:t>
      </w:r>
      <w:r w:rsidR="00E73029" w:rsidRPr="00BC3AFC">
        <w:rPr>
          <w:lang w:val="en-GB"/>
        </w:rPr>
        <w:t>on request</w:t>
      </w:r>
      <w:r w:rsidR="003B2AAC" w:rsidRPr="00BC3AFC">
        <w:rPr>
          <w:lang w:val="en-GB"/>
        </w:rPr>
        <w:t xml:space="preserve"> </w:t>
      </w:r>
      <w:r w:rsidR="00E73029" w:rsidRPr="00BC3AFC">
        <w:rPr>
          <w:lang w:val="en-GB"/>
        </w:rPr>
        <w:t>for</w:t>
      </w:r>
      <w:r w:rsidR="003B2AAC" w:rsidRPr="00BC3AFC">
        <w:rPr>
          <w:lang w:val="en-GB"/>
        </w:rPr>
        <w:t xml:space="preserve"> the following specimens: throat swabs, urine, pus samples</w:t>
      </w:r>
      <w:r w:rsidR="00E73029" w:rsidRPr="00BC3AFC">
        <w:rPr>
          <w:lang w:val="en-GB"/>
        </w:rPr>
        <w:t>.</w:t>
      </w:r>
      <w:r w:rsidRPr="00BC3AFC">
        <w:rPr>
          <w:lang w:val="en-GB"/>
        </w:rPr>
        <w:t xml:space="preserve"> This additional culture work may take up to five days t</w:t>
      </w:r>
      <w:r w:rsidR="00BC3AFC">
        <w:rPr>
          <w:lang w:val="en-GB"/>
        </w:rPr>
        <w:t>o</w:t>
      </w:r>
      <w:r w:rsidRPr="00BC3AFC">
        <w:rPr>
          <w:lang w:val="en-GB"/>
        </w:rPr>
        <w:t xml:space="preserve"> yield a positive result.</w:t>
      </w:r>
    </w:p>
    <w:p w:rsidR="003B2AAC" w:rsidRPr="00BC3AFC" w:rsidRDefault="00E73029" w:rsidP="00E73029">
      <w:pPr>
        <w:rPr>
          <w:lang w:val="en-GB"/>
        </w:rPr>
      </w:pPr>
      <w:r w:rsidRPr="00BC3AFC">
        <w:rPr>
          <w:lang w:val="en-GB"/>
        </w:rPr>
        <w:t>Addition of a throat swab may significantly increase the diagnostic yield in suspected melioidosis cases.</w:t>
      </w:r>
    </w:p>
    <w:p w:rsidR="003B2AAC" w:rsidRPr="00BC3AFC" w:rsidRDefault="003B2AAC" w:rsidP="003B2AAC">
      <w:pPr>
        <w:rPr>
          <w:lang w:val="en-GB"/>
        </w:rPr>
      </w:pPr>
    </w:p>
    <w:sectPr w:rsidR="003B2AAC" w:rsidRPr="00BC3AFC" w:rsidSect="006C64AF">
      <w:headerReference w:type="default" r:id="rId10"/>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B0" w:rsidRDefault="004426B0" w:rsidP="00D219C6">
      <w:r>
        <w:separator/>
      </w:r>
    </w:p>
  </w:endnote>
  <w:endnote w:type="continuationSeparator" w:id="0">
    <w:p w:rsidR="004426B0" w:rsidRDefault="004426B0"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E0" w:rsidRPr="006F65E0" w:rsidRDefault="006F65E0" w:rsidP="006F65E0">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3A6DA9">
      <w:rPr>
        <w:rFonts w:ascii="Century Gothic" w:hAnsi="Century Gothic"/>
        <w:noProof/>
        <w:lang w:val="en-GB"/>
      </w:rPr>
      <w:t>2</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3A6DA9">
      <w:rPr>
        <w:rFonts w:ascii="Century Gothic" w:hAnsi="Century Gothic"/>
        <w:noProof/>
        <w:lang w:val="en-GB"/>
      </w:rPr>
      <w:t>11</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B0" w:rsidRDefault="004426B0" w:rsidP="00D219C6">
      <w:r>
        <w:separator/>
      </w:r>
    </w:p>
  </w:footnote>
  <w:footnote w:type="continuationSeparator" w:id="0">
    <w:p w:rsidR="004426B0" w:rsidRDefault="004426B0"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A9" w:rsidRPr="003A6DA9" w:rsidRDefault="003A6DA9">
    <w:pPr>
      <w:rPr>
        <w:sz w:val="20"/>
      </w:rPr>
    </w:pPr>
    <w:r w:rsidRPr="003A6DA9">
      <w:rPr>
        <w:sz w:val="20"/>
      </w:rPr>
      <mc:AlternateContent>
        <mc:Choice Requires="wps">
          <w:drawing>
            <wp:anchor distT="0" distB="0" distL="114300" distR="114300" simplePos="0" relativeHeight="251660288" behindDoc="0" locked="0" layoutInCell="1" allowOverlap="1" wp14:anchorId="48E4D84C" wp14:editId="0E4ABFF1">
              <wp:simplePos x="0" y="0"/>
              <wp:positionH relativeFrom="margin">
                <wp:posOffset>2933065</wp:posOffset>
              </wp:positionH>
              <wp:positionV relativeFrom="paragraph">
                <wp:posOffset>-86995</wp:posOffset>
              </wp:positionV>
              <wp:extent cx="3067050" cy="5251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DA9" w:rsidRDefault="003A6DA9" w:rsidP="003A6DA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0.95pt;margin-top:-6.8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Rzgg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HmZTmfpBEwUbJPxJMsn8QpSHk8b6/xbrlsUJhW2&#10;wHxEJ/s750M0pDy6hMucloKthZRxYbeblbRoT0Al6/gd0F+4SRWclQ7HBsRhB4KEO4IthBtZfyqy&#10;cZ4ux8VoPZ3PRvk6n4yKWTofpVmxLKZpXuS36+8hwCwvG8EYV3dC8aMCs/zvGD70wqCdqEHUVbiA&#10;Ag0U/THJNH6/S7IVHhpSirbC85MTKQOxbxSDtEnpiZDDPHkZfqwy1OD4j1WJMgjMDxrw/aYHlKCN&#10;jWaPIAirgS+gFl4RmDTafsOog46ssPu6I5ZjJN8pEFWR5Xlo4bjIJ7MxLOy5ZXNuIYoCVIU9RsN0&#10;5Ye23xkrtg3cNMhY6RsQYi2iRp6jOsgXui4mc3ghQlufr6PX8zu2+AEAAP//AwBQSwMEFAAGAAgA&#10;AAAhADOtQS/eAAAACgEAAA8AAABkcnMvZG93bnJldi54bWxMj8FOg0AQhu8mvsNmTLyYdkERhDI0&#10;aqLx2toHWNgpkLK7hN0W+vaOJz3OzJd/vr/cLmYQF5p87yxCvI5AkG2c7m2LcPj+WL2A8EFZrQZn&#10;CeFKHrbV7U2pCu1mu6PLPrSCQ6wvFEIXwlhI6ZuOjPJrN5Ll29FNRgUep1bqSc0cbgb5GEWpNKq3&#10;/KFTI7131Jz2Z4Nw/JofnvO5/gyHbJekb6rPandFvL9bXjcgAi3hD4ZffVaHip1qd7baiwEhSeOc&#10;UYRV/JSBYCJPEt7UCGkegaxK+b9C9QMAAP//AwBQSwECLQAUAAYACAAAACEAtoM4kv4AAADhAQAA&#10;EwAAAAAAAAAAAAAAAAAAAAAAW0NvbnRlbnRfVHlwZXNdLnhtbFBLAQItABQABgAIAAAAIQA4/SH/&#10;1gAAAJQBAAALAAAAAAAAAAAAAAAAAC8BAABfcmVscy8ucmVsc1BLAQItABQABgAIAAAAIQDgBgRz&#10;ggIAAA8FAAAOAAAAAAAAAAAAAAAAAC4CAABkcnMvZTJvRG9jLnhtbFBLAQItABQABgAIAAAAIQAz&#10;rUEv3gAAAAoBAAAPAAAAAAAAAAAAAAAAANwEAABkcnMvZG93bnJldi54bWxQSwUGAAAAAAQABADz&#10;AAAA5wUAAAAA&#10;" stroked="f">
              <v:textbox>
                <w:txbxContent>
                  <w:p w:rsidR="003A6DA9" w:rsidRDefault="003A6DA9" w:rsidP="003A6DA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3A6DA9">
      <w:rPr>
        <w:sz w:val="20"/>
      </w:rPr>
      <w:drawing>
        <wp:anchor distT="0" distB="0" distL="114300" distR="114300" simplePos="0" relativeHeight="251659264" behindDoc="0" locked="0" layoutInCell="1" allowOverlap="1" wp14:anchorId="0787ABD6" wp14:editId="7AD7EE7B">
          <wp:simplePos x="0" y="0"/>
          <wp:positionH relativeFrom="margin">
            <wp:posOffset>-527050</wp:posOffset>
          </wp:positionH>
          <wp:positionV relativeFrom="margin">
            <wp:posOffset>-2399030</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3A6DA9" w:rsidRPr="003A6DA9" w:rsidRDefault="003A6DA9">
    <w:pPr>
      <w:rPr>
        <w:sz w:val="20"/>
      </w:rPr>
    </w:pPr>
  </w:p>
  <w:p w:rsidR="003A6DA9" w:rsidRPr="003A6DA9" w:rsidRDefault="003A6DA9">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067720" w:rsidRPr="00983F5B" w:rsidTr="00C85442">
      <w:trPr>
        <w:trHeight w:val="293"/>
        <w:jc w:val="center"/>
      </w:trPr>
      <w:tc>
        <w:tcPr>
          <w:tcW w:w="10207" w:type="dxa"/>
          <w:gridSpan w:val="4"/>
          <w:shd w:val="clear" w:color="auto" w:fill="000000" w:themeFill="text1"/>
        </w:tcPr>
        <w:p w:rsidR="00067720" w:rsidRPr="00983F5B" w:rsidRDefault="00067720" w:rsidP="00C85442">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067720" w:rsidRPr="00983F5B" w:rsidTr="00C85442">
      <w:trPr>
        <w:trHeight w:val="292"/>
        <w:jc w:val="center"/>
      </w:trPr>
      <w:tc>
        <w:tcPr>
          <w:tcW w:w="10207" w:type="dxa"/>
          <w:gridSpan w:val="4"/>
          <w:tcBorders>
            <w:bottom w:val="single" w:sz="4" w:space="0" w:color="auto"/>
          </w:tcBorders>
        </w:tcPr>
        <w:p w:rsidR="00067720" w:rsidRPr="00983F5B" w:rsidRDefault="00BB7DCC" w:rsidP="00C85442">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Specimen collection guideline</w:t>
          </w:r>
        </w:p>
      </w:tc>
    </w:tr>
    <w:tr w:rsidR="00067720" w:rsidRPr="00983F5B" w:rsidTr="00C85442">
      <w:trPr>
        <w:jc w:val="center"/>
      </w:trPr>
      <w:tc>
        <w:tcPr>
          <w:tcW w:w="2551" w:type="dxa"/>
          <w:tcBorders>
            <w:top w:val="single" w:sz="4" w:space="0" w:color="auto"/>
            <w:left w:val="single" w:sz="4" w:space="0" w:color="auto"/>
            <w:bottom w:val="nil"/>
            <w:right w:val="nil"/>
          </w:tcBorders>
        </w:tcPr>
        <w:p w:rsidR="00067720" w:rsidRPr="00983F5B" w:rsidRDefault="00067720" w:rsidP="00C85442">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067720" w:rsidRPr="00983F5B" w:rsidRDefault="00067720" w:rsidP="00C85442">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067720" w:rsidRPr="00983F5B" w:rsidRDefault="00067720" w:rsidP="00C85442">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067720" w:rsidRPr="00983F5B" w:rsidRDefault="00067720" w:rsidP="00C85442">
          <w:pPr>
            <w:pStyle w:val="Header"/>
            <w:spacing w:before="40" w:after="40" w:line="240" w:lineRule="auto"/>
            <w:rPr>
              <w:rFonts w:ascii="Century Gothic" w:hAnsi="Century Gothic"/>
              <w:sz w:val="16"/>
              <w:szCs w:val="16"/>
              <w:lang w:val="en-GB"/>
            </w:rPr>
          </w:pPr>
        </w:p>
      </w:tc>
    </w:tr>
    <w:tr w:rsidR="00067720" w:rsidRPr="00983F5B" w:rsidTr="00C85442">
      <w:trPr>
        <w:jc w:val="center"/>
      </w:trPr>
      <w:tc>
        <w:tcPr>
          <w:tcW w:w="2551" w:type="dxa"/>
          <w:tcBorders>
            <w:top w:val="nil"/>
            <w:left w:val="single" w:sz="4" w:space="0" w:color="auto"/>
            <w:bottom w:val="nil"/>
            <w:right w:val="nil"/>
          </w:tcBorders>
        </w:tcPr>
        <w:p w:rsidR="00067720" w:rsidRPr="00983F5B" w:rsidRDefault="00067720" w:rsidP="00C85442">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067720" w:rsidRPr="00EB39EE" w:rsidRDefault="00067720" w:rsidP="00C85442">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067720" w:rsidRPr="00983F5B" w:rsidRDefault="00067720" w:rsidP="00C85442">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067720" w:rsidRPr="00983F5B" w:rsidRDefault="00067720" w:rsidP="00C85442">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16-Feb-2012</w:t>
          </w:r>
        </w:p>
      </w:tc>
    </w:tr>
    <w:tr w:rsidR="00067720" w:rsidRPr="00983F5B" w:rsidTr="00C85442">
      <w:trPr>
        <w:jc w:val="center"/>
      </w:trPr>
      <w:tc>
        <w:tcPr>
          <w:tcW w:w="2551" w:type="dxa"/>
          <w:tcBorders>
            <w:top w:val="nil"/>
            <w:left w:val="single" w:sz="4" w:space="0" w:color="auto"/>
            <w:bottom w:val="nil"/>
            <w:right w:val="nil"/>
          </w:tcBorders>
        </w:tcPr>
        <w:p w:rsidR="00067720" w:rsidRPr="00983F5B" w:rsidRDefault="00067720" w:rsidP="00C85442">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067720" w:rsidRPr="00EB39EE" w:rsidRDefault="00067720" w:rsidP="00C85442">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Clinical staff</w:t>
          </w:r>
        </w:p>
      </w:tc>
      <w:tc>
        <w:tcPr>
          <w:tcW w:w="2552" w:type="dxa"/>
          <w:tcBorders>
            <w:top w:val="nil"/>
            <w:left w:val="nil"/>
            <w:bottom w:val="nil"/>
            <w:right w:val="nil"/>
          </w:tcBorders>
        </w:tcPr>
        <w:p w:rsidR="00067720" w:rsidRPr="00983F5B" w:rsidRDefault="00067720" w:rsidP="00C85442">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067720" w:rsidRPr="00983F5B" w:rsidRDefault="00067720" w:rsidP="00C85442">
          <w:pPr>
            <w:pStyle w:val="Header"/>
            <w:spacing w:before="40" w:after="40" w:line="240" w:lineRule="auto"/>
            <w:rPr>
              <w:rFonts w:ascii="Century Gothic" w:hAnsi="Century Gothic"/>
              <w:sz w:val="16"/>
              <w:szCs w:val="16"/>
              <w:lang w:val="en-GB"/>
            </w:rPr>
          </w:pPr>
        </w:p>
      </w:tc>
    </w:tr>
    <w:tr w:rsidR="00067720" w:rsidRPr="00983F5B" w:rsidTr="00C85442">
      <w:trPr>
        <w:jc w:val="center"/>
      </w:trPr>
      <w:tc>
        <w:tcPr>
          <w:tcW w:w="2551" w:type="dxa"/>
          <w:tcBorders>
            <w:top w:val="nil"/>
            <w:left w:val="single" w:sz="4" w:space="0" w:color="auto"/>
            <w:bottom w:val="single" w:sz="4" w:space="0" w:color="auto"/>
            <w:right w:val="nil"/>
          </w:tcBorders>
        </w:tcPr>
        <w:p w:rsidR="00067720" w:rsidRPr="00983F5B" w:rsidRDefault="003A6DA9" w:rsidP="00C85442">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 xml:space="preserve">Modified </w:t>
          </w:r>
          <w:r w:rsidR="00067720" w:rsidRPr="00983F5B">
            <w:rPr>
              <w:rFonts w:ascii="Century Gothic" w:hAnsi="Century Gothic"/>
              <w:sz w:val="16"/>
              <w:szCs w:val="16"/>
              <w:lang w:val="en-GB"/>
            </w:rPr>
            <w:t>by:</w:t>
          </w:r>
        </w:p>
      </w:tc>
      <w:tc>
        <w:tcPr>
          <w:tcW w:w="2552" w:type="dxa"/>
          <w:tcBorders>
            <w:top w:val="nil"/>
            <w:left w:val="nil"/>
            <w:bottom w:val="single" w:sz="4" w:space="0" w:color="auto"/>
            <w:right w:val="nil"/>
          </w:tcBorders>
        </w:tcPr>
        <w:p w:rsidR="00067720" w:rsidRPr="00EB39EE" w:rsidRDefault="00067720" w:rsidP="00C85442">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067720" w:rsidRPr="00983F5B" w:rsidRDefault="00067720" w:rsidP="00C85442">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067720" w:rsidRPr="00983F5B" w:rsidRDefault="00067720" w:rsidP="00C85442">
          <w:pPr>
            <w:pStyle w:val="Header"/>
            <w:spacing w:before="40" w:after="40" w:line="240" w:lineRule="auto"/>
            <w:rPr>
              <w:rFonts w:ascii="Century Gothic" w:hAnsi="Century Gothic"/>
              <w:sz w:val="16"/>
              <w:szCs w:val="16"/>
              <w:lang w:val="en-GB"/>
            </w:rPr>
          </w:pPr>
        </w:p>
      </w:tc>
    </w:tr>
  </w:tbl>
  <w:p w:rsidR="00515D26" w:rsidRPr="003A6DA9" w:rsidRDefault="00515D26" w:rsidP="00D219C6">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A9" w:rsidRPr="003A6DA9" w:rsidRDefault="003A6DA9">
    <w:pPr>
      <w:rPr>
        <w:sz w:val="20"/>
      </w:rPr>
    </w:pPr>
    <w:r w:rsidRPr="003A6DA9">
      <w:rPr>
        <w:sz w:val="20"/>
      </w:rPr>
      <mc:AlternateContent>
        <mc:Choice Requires="wps">
          <w:drawing>
            <wp:anchor distT="0" distB="0" distL="114300" distR="114300" simplePos="0" relativeHeight="251663360" behindDoc="0" locked="0" layoutInCell="1" allowOverlap="1" wp14:anchorId="2FECD43B" wp14:editId="2B96AD08">
              <wp:simplePos x="0" y="0"/>
              <wp:positionH relativeFrom="margin">
                <wp:posOffset>2933065</wp:posOffset>
              </wp:positionH>
              <wp:positionV relativeFrom="paragraph">
                <wp:posOffset>-86995</wp:posOffset>
              </wp:positionV>
              <wp:extent cx="3067050" cy="5251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DA9" w:rsidRDefault="003A6DA9" w:rsidP="003A6DA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30.95pt;margin-top:-6.85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kgwIAABY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vkoXy3QOJgq2+Wye5fNALiHl+bSxzr/hukVhUmELykd0&#10;cnhwfnA9u0T2Wgq2EVLGhd1t76RFBwJVsonfCd2N3aQKzkqHYwPisAMk4Y5gC3Sj6t+KbJant7Ni&#10;slmslpN8k88nxTJdTdKsuC0WaV7k95vvgWCWl41gjKsHofi5ArP87xQ+9cJQO7EGUVfhAhI0SDRm&#10;78ZBpvH7U5Ct8NCQUrQVXl2cSBmEfa0YhE1KT4Qc5snP9KMgkIPzP2YllkFQfqgB32/7U70BWCiR&#10;rWZHqAurQTZQGB4TmDTafsWog8assPuyJ5ZjJN8qqK0iy/PQyXGRz5czWNixZTu2EEUBqsIeo2F6&#10;54fu3xsrdg3cNFSz0jdQj7WIpfLMCiIJC2i+GNPpoQjdPV5Hr+fnbP0DAAD//wMAUEsDBBQABgAI&#10;AAAAIQAzrUEv3gAAAAoBAAAPAAAAZHJzL2Rvd25yZXYueG1sTI/BToNAEIbvJr7DZky8mHZBEYQy&#10;NGqi8draB1jYKZCyu4TdFvr2jic9zsyXf76/3C5mEBeafO8sQryOQJBtnO5ti3D4/li9gPBBWa0G&#10;ZwnhSh621e1NqQrtZrujyz60gkOsLxRCF8JYSOmbjozyazeS5dvRTUYFHqdW6knNHG4G+RhFqTSq&#10;t/yhUyO9d9Sc9meDcPyaH57zuf4Mh2yXpG+qz2p3Rby/W143IAIt4Q+GX31Wh4qdane22osBIUnj&#10;nFGEVfyUgWAiTxLe1AhpHoGsSvm/QvUDAAD//wMAUEsBAi0AFAAGAAgAAAAhALaDOJL+AAAA4QEA&#10;ABMAAAAAAAAAAAAAAAAAAAAAAFtDb250ZW50X1R5cGVzXS54bWxQSwECLQAUAAYACAAAACEAOP0h&#10;/9YAAACUAQAACwAAAAAAAAAAAAAAAAAvAQAAX3JlbHMvLnJlbHNQSwECLQAUAAYACAAAACEA4Ijv&#10;5IMCAAAWBQAADgAAAAAAAAAAAAAAAAAuAgAAZHJzL2Uyb0RvYy54bWxQSwECLQAUAAYACAAAACEA&#10;M61BL94AAAAKAQAADwAAAAAAAAAAAAAAAADdBAAAZHJzL2Rvd25yZXYueG1sUEsFBgAAAAAEAAQA&#10;8wAAAOgFAAAAAA==&#10;" stroked="f">
              <v:textbox>
                <w:txbxContent>
                  <w:p w:rsidR="003A6DA9" w:rsidRDefault="003A6DA9" w:rsidP="003A6DA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3A6DA9">
      <w:rPr>
        <w:sz w:val="20"/>
      </w:rPr>
      <w:drawing>
        <wp:anchor distT="0" distB="0" distL="114300" distR="114300" simplePos="0" relativeHeight="251662336" behindDoc="0" locked="0" layoutInCell="1" allowOverlap="1" wp14:anchorId="3CFF7BCC" wp14:editId="303D04C5">
          <wp:simplePos x="0" y="0"/>
          <wp:positionH relativeFrom="margin">
            <wp:posOffset>-527050</wp:posOffset>
          </wp:positionH>
          <wp:positionV relativeFrom="margin">
            <wp:posOffset>-1872615</wp:posOffset>
          </wp:positionV>
          <wp:extent cx="1520190" cy="734695"/>
          <wp:effectExtent l="0" t="0" r="3810" b="8255"/>
          <wp:wrapSquare wrapText="bothSides"/>
          <wp:docPr id="2" name="Picture 2"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3A6DA9" w:rsidRPr="003A6DA9" w:rsidRDefault="003A6DA9">
    <w:pPr>
      <w:rPr>
        <w:sz w:val="20"/>
      </w:rPr>
    </w:pPr>
  </w:p>
  <w:p w:rsidR="003A6DA9" w:rsidRPr="003A6DA9" w:rsidRDefault="003A6DA9">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067720" w:rsidRPr="00FB0AA3" w:rsidTr="00FB0AA3">
      <w:trPr>
        <w:trHeight w:val="293"/>
        <w:jc w:val="center"/>
      </w:trPr>
      <w:tc>
        <w:tcPr>
          <w:tcW w:w="10207" w:type="dxa"/>
          <w:gridSpan w:val="4"/>
          <w:shd w:val="clear" w:color="auto" w:fill="000000" w:themeFill="text1"/>
        </w:tcPr>
        <w:p w:rsidR="00067720" w:rsidRPr="00405ACC" w:rsidRDefault="00067720"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067720" w:rsidRPr="00FB0AA3" w:rsidTr="00515D26">
      <w:trPr>
        <w:trHeight w:val="292"/>
        <w:jc w:val="center"/>
      </w:trPr>
      <w:tc>
        <w:tcPr>
          <w:tcW w:w="10207" w:type="dxa"/>
          <w:gridSpan w:val="4"/>
          <w:tcBorders>
            <w:bottom w:val="single" w:sz="4" w:space="0" w:color="auto"/>
          </w:tcBorders>
        </w:tcPr>
        <w:p w:rsidR="00067720" w:rsidRPr="00405ACC" w:rsidRDefault="00067720" w:rsidP="00405ACC">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Specimen collection guideline</w:t>
          </w:r>
        </w:p>
      </w:tc>
    </w:tr>
    <w:tr w:rsidR="00067720" w:rsidRPr="00FB0AA3" w:rsidTr="00515D26">
      <w:trPr>
        <w:jc w:val="center"/>
      </w:trPr>
      <w:tc>
        <w:tcPr>
          <w:tcW w:w="2551" w:type="dxa"/>
          <w:tcBorders>
            <w:top w:val="single" w:sz="4" w:space="0" w:color="auto"/>
            <w:left w:val="single" w:sz="4" w:space="0" w:color="auto"/>
            <w:bottom w:val="single" w:sz="4" w:space="0" w:color="auto"/>
            <w:right w:val="nil"/>
          </w:tcBorders>
        </w:tcPr>
        <w:p w:rsidR="00067720" w:rsidRPr="00D219C6" w:rsidRDefault="00067720"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067720" w:rsidRPr="00D219C6" w:rsidRDefault="00067720"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067720" w:rsidRPr="00D219C6" w:rsidRDefault="00067720"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067720" w:rsidRPr="00D219C6" w:rsidRDefault="00067720" w:rsidP="005551B7">
          <w:pPr>
            <w:pStyle w:val="Header"/>
            <w:spacing w:before="40" w:after="40" w:line="240" w:lineRule="auto"/>
            <w:rPr>
              <w:rFonts w:ascii="Century Gothic" w:hAnsi="Century Gothic"/>
              <w:sz w:val="16"/>
              <w:szCs w:val="16"/>
            </w:rPr>
          </w:pPr>
        </w:p>
      </w:tc>
    </w:tr>
  </w:tbl>
  <w:p w:rsidR="00067720" w:rsidRPr="003A6DA9" w:rsidRDefault="00067720"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0DB44C4"/>
    <w:multiLevelType w:val="hybridMultilevel"/>
    <w:tmpl w:val="A63A9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9720E5"/>
    <w:multiLevelType w:val="hybridMultilevel"/>
    <w:tmpl w:val="7000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61A6B"/>
    <w:multiLevelType w:val="hybridMultilevel"/>
    <w:tmpl w:val="45D8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410031"/>
    <w:multiLevelType w:val="hybridMultilevel"/>
    <w:tmpl w:val="D756B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3205FE"/>
    <w:multiLevelType w:val="hybridMultilevel"/>
    <w:tmpl w:val="0DE0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C1FD2"/>
    <w:multiLevelType w:val="hybridMultilevel"/>
    <w:tmpl w:val="F648C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AA4D25"/>
    <w:multiLevelType w:val="hybridMultilevel"/>
    <w:tmpl w:val="7C56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52BB8"/>
    <w:multiLevelType w:val="hybridMultilevel"/>
    <w:tmpl w:val="2C48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10"/>
  </w:num>
  <w:num w:numId="6">
    <w:abstractNumId w:val="7"/>
  </w:num>
  <w:num w:numId="7">
    <w:abstractNumId w:val="3"/>
  </w:num>
  <w:num w:numId="8">
    <w:abstractNumId w:val="9"/>
  </w:num>
  <w:num w:numId="9">
    <w:abstractNumId w:val="5"/>
  </w:num>
  <w:num w:numId="10">
    <w:abstractNumId w:val="8"/>
  </w:num>
  <w:num w:numId="11">
    <w:abstractNumId w:val="12"/>
  </w:num>
  <w:num w:numId="12">
    <w:abstractNumId w:val="11"/>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24"/>
    <w:rsid w:val="00013AAB"/>
    <w:rsid w:val="00023151"/>
    <w:rsid w:val="000262B5"/>
    <w:rsid w:val="00031722"/>
    <w:rsid w:val="0003682A"/>
    <w:rsid w:val="00037FFC"/>
    <w:rsid w:val="00042B56"/>
    <w:rsid w:val="00050523"/>
    <w:rsid w:val="00052E0B"/>
    <w:rsid w:val="0006065D"/>
    <w:rsid w:val="00061722"/>
    <w:rsid w:val="00061D4D"/>
    <w:rsid w:val="00067720"/>
    <w:rsid w:val="00070AE6"/>
    <w:rsid w:val="00074184"/>
    <w:rsid w:val="000B56FC"/>
    <w:rsid w:val="000C0E7D"/>
    <w:rsid w:val="000C3C6C"/>
    <w:rsid w:val="000D1417"/>
    <w:rsid w:val="000D2BED"/>
    <w:rsid w:val="000D6538"/>
    <w:rsid w:val="000D7864"/>
    <w:rsid w:val="000E42C8"/>
    <w:rsid w:val="000E5EB7"/>
    <w:rsid w:val="000F6C11"/>
    <w:rsid w:val="00111502"/>
    <w:rsid w:val="0013305D"/>
    <w:rsid w:val="00135CD7"/>
    <w:rsid w:val="001416B4"/>
    <w:rsid w:val="00141E05"/>
    <w:rsid w:val="001541D0"/>
    <w:rsid w:val="00155726"/>
    <w:rsid w:val="00165CAB"/>
    <w:rsid w:val="0016696F"/>
    <w:rsid w:val="001950BE"/>
    <w:rsid w:val="001B1A3E"/>
    <w:rsid w:val="001B2E44"/>
    <w:rsid w:val="001C0D5D"/>
    <w:rsid w:val="001C12FA"/>
    <w:rsid w:val="001C5564"/>
    <w:rsid w:val="001C78DD"/>
    <w:rsid w:val="001D3069"/>
    <w:rsid w:val="001D624B"/>
    <w:rsid w:val="001D6CA5"/>
    <w:rsid w:val="001E1CF0"/>
    <w:rsid w:val="001F1FEE"/>
    <w:rsid w:val="00205001"/>
    <w:rsid w:val="00220450"/>
    <w:rsid w:val="002207D4"/>
    <w:rsid w:val="00222C33"/>
    <w:rsid w:val="002378B2"/>
    <w:rsid w:val="0025785F"/>
    <w:rsid w:val="00262CF1"/>
    <w:rsid w:val="00270F24"/>
    <w:rsid w:val="002720F6"/>
    <w:rsid w:val="00272557"/>
    <w:rsid w:val="00273D46"/>
    <w:rsid w:val="00287235"/>
    <w:rsid w:val="002A0619"/>
    <w:rsid w:val="002A425E"/>
    <w:rsid w:val="002A56DE"/>
    <w:rsid w:val="002B0540"/>
    <w:rsid w:val="002C292E"/>
    <w:rsid w:val="002E454D"/>
    <w:rsid w:val="002E4C34"/>
    <w:rsid w:val="002E53F1"/>
    <w:rsid w:val="002F06D7"/>
    <w:rsid w:val="002F2468"/>
    <w:rsid w:val="00314692"/>
    <w:rsid w:val="003403D8"/>
    <w:rsid w:val="00342E28"/>
    <w:rsid w:val="00347433"/>
    <w:rsid w:val="00374FCE"/>
    <w:rsid w:val="003767D9"/>
    <w:rsid w:val="003A6DA9"/>
    <w:rsid w:val="003A7A8A"/>
    <w:rsid w:val="003B2AAC"/>
    <w:rsid w:val="003C084B"/>
    <w:rsid w:val="003D46BB"/>
    <w:rsid w:val="003E203F"/>
    <w:rsid w:val="003E3668"/>
    <w:rsid w:val="003F7477"/>
    <w:rsid w:val="00405ACC"/>
    <w:rsid w:val="0042019A"/>
    <w:rsid w:val="00421116"/>
    <w:rsid w:val="00421E3B"/>
    <w:rsid w:val="00427502"/>
    <w:rsid w:val="00430CFE"/>
    <w:rsid w:val="004426B0"/>
    <w:rsid w:val="00445588"/>
    <w:rsid w:val="00477C4D"/>
    <w:rsid w:val="00481781"/>
    <w:rsid w:val="00486E0A"/>
    <w:rsid w:val="004927F0"/>
    <w:rsid w:val="004A35E6"/>
    <w:rsid w:val="004A37C2"/>
    <w:rsid w:val="004B5F42"/>
    <w:rsid w:val="004C4C4B"/>
    <w:rsid w:val="004C61F8"/>
    <w:rsid w:val="00515D26"/>
    <w:rsid w:val="00525FA9"/>
    <w:rsid w:val="005551B7"/>
    <w:rsid w:val="005717C4"/>
    <w:rsid w:val="0058067F"/>
    <w:rsid w:val="005A1B55"/>
    <w:rsid w:val="005B251F"/>
    <w:rsid w:val="005C3BF6"/>
    <w:rsid w:val="005D19FC"/>
    <w:rsid w:val="005E02C6"/>
    <w:rsid w:val="005E2910"/>
    <w:rsid w:val="005E2D38"/>
    <w:rsid w:val="00606AC7"/>
    <w:rsid w:val="00607BC3"/>
    <w:rsid w:val="0062751B"/>
    <w:rsid w:val="00632989"/>
    <w:rsid w:val="006538C8"/>
    <w:rsid w:val="00676CC9"/>
    <w:rsid w:val="006B1A6E"/>
    <w:rsid w:val="006C1DB9"/>
    <w:rsid w:val="006C2C3A"/>
    <w:rsid w:val="006C4703"/>
    <w:rsid w:val="006C64AF"/>
    <w:rsid w:val="006C65C5"/>
    <w:rsid w:val="006C6DEF"/>
    <w:rsid w:val="006D6F46"/>
    <w:rsid w:val="006F65E0"/>
    <w:rsid w:val="00726755"/>
    <w:rsid w:val="0073622C"/>
    <w:rsid w:val="00736DAA"/>
    <w:rsid w:val="00742CE0"/>
    <w:rsid w:val="00745AAD"/>
    <w:rsid w:val="0075617E"/>
    <w:rsid w:val="007767F1"/>
    <w:rsid w:val="0078032C"/>
    <w:rsid w:val="00797C0E"/>
    <w:rsid w:val="007B2D41"/>
    <w:rsid w:val="007C4674"/>
    <w:rsid w:val="007C7203"/>
    <w:rsid w:val="007C7A94"/>
    <w:rsid w:val="007D1756"/>
    <w:rsid w:val="007F2718"/>
    <w:rsid w:val="008166E6"/>
    <w:rsid w:val="00827443"/>
    <w:rsid w:val="00827B5D"/>
    <w:rsid w:val="00831B07"/>
    <w:rsid w:val="008354A0"/>
    <w:rsid w:val="0084638E"/>
    <w:rsid w:val="00872110"/>
    <w:rsid w:val="0089285A"/>
    <w:rsid w:val="00893C76"/>
    <w:rsid w:val="008A6CEE"/>
    <w:rsid w:val="008C0608"/>
    <w:rsid w:val="008C29F3"/>
    <w:rsid w:val="008E5800"/>
    <w:rsid w:val="008E6A1F"/>
    <w:rsid w:val="008F1617"/>
    <w:rsid w:val="008F61D3"/>
    <w:rsid w:val="0091209A"/>
    <w:rsid w:val="00912418"/>
    <w:rsid w:val="009139D8"/>
    <w:rsid w:val="00922F74"/>
    <w:rsid w:val="00924A58"/>
    <w:rsid w:val="00935C33"/>
    <w:rsid w:val="00957D34"/>
    <w:rsid w:val="00960FDF"/>
    <w:rsid w:val="00963EC6"/>
    <w:rsid w:val="00964279"/>
    <w:rsid w:val="00983F5B"/>
    <w:rsid w:val="009914D3"/>
    <w:rsid w:val="00993F92"/>
    <w:rsid w:val="00995876"/>
    <w:rsid w:val="009B394A"/>
    <w:rsid w:val="009B58E3"/>
    <w:rsid w:val="009C3E57"/>
    <w:rsid w:val="009C6903"/>
    <w:rsid w:val="009E09F2"/>
    <w:rsid w:val="009E0BD9"/>
    <w:rsid w:val="009E56D7"/>
    <w:rsid w:val="009F1B07"/>
    <w:rsid w:val="009F1BFD"/>
    <w:rsid w:val="009F789F"/>
    <w:rsid w:val="00A008B7"/>
    <w:rsid w:val="00A254A7"/>
    <w:rsid w:val="00A2682E"/>
    <w:rsid w:val="00A45A3E"/>
    <w:rsid w:val="00A53E7A"/>
    <w:rsid w:val="00A63FFD"/>
    <w:rsid w:val="00A77A6A"/>
    <w:rsid w:val="00AB52D9"/>
    <w:rsid w:val="00AB694E"/>
    <w:rsid w:val="00AD588F"/>
    <w:rsid w:val="00AD5A01"/>
    <w:rsid w:val="00AE2510"/>
    <w:rsid w:val="00AE5F3A"/>
    <w:rsid w:val="00AF12A5"/>
    <w:rsid w:val="00AF160A"/>
    <w:rsid w:val="00B00ECA"/>
    <w:rsid w:val="00B24C6F"/>
    <w:rsid w:val="00B25421"/>
    <w:rsid w:val="00B25A72"/>
    <w:rsid w:val="00B424F6"/>
    <w:rsid w:val="00B46F3F"/>
    <w:rsid w:val="00B52C81"/>
    <w:rsid w:val="00B537CE"/>
    <w:rsid w:val="00B62444"/>
    <w:rsid w:val="00B62F56"/>
    <w:rsid w:val="00B649F2"/>
    <w:rsid w:val="00B83471"/>
    <w:rsid w:val="00B867F2"/>
    <w:rsid w:val="00B9151B"/>
    <w:rsid w:val="00B9205A"/>
    <w:rsid w:val="00BA1A27"/>
    <w:rsid w:val="00BA4DA5"/>
    <w:rsid w:val="00BA6835"/>
    <w:rsid w:val="00BB34D4"/>
    <w:rsid w:val="00BB7DCC"/>
    <w:rsid w:val="00BC2277"/>
    <w:rsid w:val="00BC3AFC"/>
    <w:rsid w:val="00BE36AF"/>
    <w:rsid w:val="00BE7408"/>
    <w:rsid w:val="00BF12B9"/>
    <w:rsid w:val="00BF2756"/>
    <w:rsid w:val="00BF4A7B"/>
    <w:rsid w:val="00C00018"/>
    <w:rsid w:val="00C13B28"/>
    <w:rsid w:val="00C1672F"/>
    <w:rsid w:val="00C2535E"/>
    <w:rsid w:val="00C31558"/>
    <w:rsid w:val="00C34360"/>
    <w:rsid w:val="00C356FF"/>
    <w:rsid w:val="00C37A1D"/>
    <w:rsid w:val="00C42B46"/>
    <w:rsid w:val="00C50321"/>
    <w:rsid w:val="00C722E9"/>
    <w:rsid w:val="00C76BBB"/>
    <w:rsid w:val="00C77F65"/>
    <w:rsid w:val="00C80A31"/>
    <w:rsid w:val="00C8267C"/>
    <w:rsid w:val="00C8635F"/>
    <w:rsid w:val="00C96A91"/>
    <w:rsid w:val="00CB272A"/>
    <w:rsid w:val="00CE0DAA"/>
    <w:rsid w:val="00CE139C"/>
    <w:rsid w:val="00D023B5"/>
    <w:rsid w:val="00D11B26"/>
    <w:rsid w:val="00D12562"/>
    <w:rsid w:val="00D219C6"/>
    <w:rsid w:val="00D24538"/>
    <w:rsid w:val="00D31D48"/>
    <w:rsid w:val="00D33D8C"/>
    <w:rsid w:val="00D35CED"/>
    <w:rsid w:val="00D36001"/>
    <w:rsid w:val="00D42F35"/>
    <w:rsid w:val="00D63FD4"/>
    <w:rsid w:val="00D7649D"/>
    <w:rsid w:val="00D863FC"/>
    <w:rsid w:val="00D90290"/>
    <w:rsid w:val="00D93B2C"/>
    <w:rsid w:val="00DA1C40"/>
    <w:rsid w:val="00DB76DC"/>
    <w:rsid w:val="00DC5A51"/>
    <w:rsid w:val="00DD0470"/>
    <w:rsid w:val="00DD7F72"/>
    <w:rsid w:val="00E065D7"/>
    <w:rsid w:val="00E211A0"/>
    <w:rsid w:val="00E26FA7"/>
    <w:rsid w:val="00E33B1E"/>
    <w:rsid w:val="00E35181"/>
    <w:rsid w:val="00E452E4"/>
    <w:rsid w:val="00E45F25"/>
    <w:rsid w:val="00E47BDE"/>
    <w:rsid w:val="00E47CD2"/>
    <w:rsid w:val="00E50BF5"/>
    <w:rsid w:val="00E62F6D"/>
    <w:rsid w:val="00E65C0B"/>
    <w:rsid w:val="00E73029"/>
    <w:rsid w:val="00E73FFE"/>
    <w:rsid w:val="00E770E0"/>
    <w:rsid w:val="00E8035A"/>
    <w:rsid w:val="00E81C4B"/>
    <w:rsid w:val="00E94AF2"/>
    <w:rsid w:val="00E96D99"/>
    <w:rsid w:val="00EA0C3E"/>
    <w:rsid w:val="00EA1783"/>
    <w:rsid w:val="00EC4233"/>
    <w:rsid w:val="00ED071C"/>
    <w:rsid w:val="00ED1662"/>
    <w:rsid w:val="00ED1ABE"/>
    <w:rsid w:val="00ED2499"/>
    <w:rsid w:val="00EE0300"/>
    <w:rsid w:val="00EF0D32"/>
    <w:rsid w:val="00EF0F49"/>
    <w:rsid w:val="00EF2949"/>
    <w:rsid w:val="00F20F73"/>
    <w:rsid w:val="00F22911"/>
    <w:rsid w:val="00F306FC"/>
    <w:rsid w:val="00F3392A"/>
    <w:rsid w:val="00F3705A"/>
    <w:rsid w:val="00F67C0D"/>
    <w:rsid w:val="00F80609"/>
    <w:rsid w:val="00F92AC0"/>
    <w:rsid w:val="00F92ACC"/>
    <w:rsid w:val="00FB0AA3"/>
    <w:rsid w:val="00FB51CD"/>
    <w:rsid w:val="00FB68DD"/>
    <w:rsid w:val="00FC759D"/>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table" w:styleId="LightShading">
    <w:name w:val="Light Shading"/>
    <w:basedOn w:val="TableNormal"/>
    <w:uiPriority w:val="60"/>
    <w:rsid w:val="00EA0C3E"/>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table" w:styleId="LightShading">
    <w:name w:val="Light Shading"/>
    <w:basedOn w:val="TableNormal"/>
    <w:uiPriority w:val="60"/>
    <w:rsid w:val="00EA0C3E"/>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8865">
      <w:bodyDiv w:val="1"/>
      <w:marLeft w:val="0"/>
      <w:marRight w:val="0"/>
      <w:marTop w:val="0"/>
      <w:marBottom w:val="0"/>
      <w:divBdr>
        <w:top w:val="none" w:sz="0" w:space="0" w:color="auto"/>
        <w:left w:val="none" w:sz="0" w:space="0" w:color="auto"/>
        <w:bottom w:val="none" w:sz="0" w:space="0" w:color="auto"/>
        <w:right w:val="none" w:sz="0" w:space="0" w:color="auto"/>
      </w:divBdr>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COMRU SOP template.dotx</Template>
  <TotalTime>1</TotalTime>
  <Pages>11</Pages>
  <Words>2618</Words>
  <Characters>14828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17412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2014-03-27T08:22:00Z</cp:lastPrinted>
  <dcterms:created xsi:type="dcterms:W3CDTF">2014-03-27T14:13:00Z</dcterms:created>
  <dcterms:modified xsi:type="dcterms:W3CDTF">2014-03-27T14:13:00Z</dcterms:modified>
</cp:coreProperties>
</file>