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26" w:rsidRPr="00093BA1" w:rsidRDefault="00B83471" w:rsidP="002C3D24">
      <w:pPr>
        <w:pStyle w:val="Heading1"/>
        <w:rPr>
          <w:lang w:val="en-GB"/>
        </w:rPr>
      </w:pPr>
      <w:bookmarkStart w:id="0" w:name="_GoBack"/>
      <w:bookmarkEnd w:id="0"/>
      <w:r w:rsidRPr="00093BA1">
        <w:rPr>
          <w:lang w:val="en-GB"/>
        </w:rPr>
        <w:t>Aim</w:t>
      </w:r>
    </w:p>
    <w:p w:rsidR="0081460A" w:rsidRPr="00444623" w:rsidRDefault="0081460A" w:rsidP="0081460A">
      <w:pPr>
        <w:rPr>
          <w:lang w:val="en-GB"/>
        </w:rPr>
      </w:pPr>
      <w:proofErr w:type="gramStart"/>
      <w:r w:rsidRPr="00444623">
        <w:rPr>
          <w:lang w:val="en-GB"/>
        </w:rPr>
        <w:t>To describe the processing of blood to identify invasive bacterial infection.</w:t>
      </w:r>
      <w:proofErr w:type="gramEnd"/>
    </w:p>
    <w:p w:rsidR="00405ACC" w:rsidRPr="00093BA1" w:rsidRDefault="00B83471" w:rsidP="002C3D24">
      <w:pPr>
        <w:pStyle w:val="Heading1"/>
        <w:rPr>
          <w:lang w:val="en-GB"/>
        </w:rPr>
      </w:pPr>
      <w:r w:rsidRPr="00093BA1">
        <w:rPr>
          <w:lang w:val="en-GB"/>
        </w:rPr>
        <w:t>Principle</w:t>
      </w:r>
    </w:p>
    <w:p w:rsidR="0081460A" w:rsidRPr="00FC15CE" w:rsidRDefault="0081460A" w:rsidP="0081460A">
      <w:pPr>
        <w:rPr>
          <w:color w:val="000000"/>
          <w:lang w:val="en-GB" w:bidi="th-TH"/>
        </w:rPr>
      </w:pPr>
      <w:r w:rsidRPr="00444623">
        <w:rPr>
          <w:lang w:val="en-GB"/>
        </w:rPr>
        <w:t xml:space="preserve">Culture of blood is the “gold standard” investigation for detection of micro-organisms in blood, although often sensitivity is poor. Blood stream infections may be transient, intermittent, or continuous and may be either community or healthcare acquired. </w:t>
      </w:r>
      <w:r>
        <w:rPr>
          <w:lang w:val="en-GB"/>
        </w:rPr>
        <w:t xml:space="preserve">Infecting organisms vary by patient age, immune status, and presence of comorbidities as well as site of primary infection. </w:t>
      </w:r>
      <w:r>
        <w:rPr>
          <w:color w:val="000000"/>
          <w:lang w:val="en-GB" w:bidi="th-TH"/>
        </w:rPr>
        <w:t>The bacterial load in paediatric infection is often greater than that in adult infections (&gt;4 x10</w:t>
      </w:r>
      <w:r>
        <w:rPr>
          <w:color w:val="000000"/>
          <w:vertAlign w:val="superscript"/>
          <w:lang w:val="en-GB" w:bidi="th-TH"/>
        </w:rPr>
        <w:t>3</w:t>
      </w:r>
      <w:r>
        <w:rPr>
          <w:color w:val="000000"/>
          <w:lang w:val="en-GB" w:bidi="th-TH"/>
        </w:rPr>
        <w:t xml:space="preserve"> cfu/L vs. &lt;1 x10</w:t>
      </w:r>
      <w:r>
        <w:rPr>
          <w:color w:val="000000"/>
          <w:vertAlign w:val="superscript"/>
          <w:lang w:val="en-GB" w:bidi="th-TH"/>
        </w:rPr>
        <w:t>3</w:t>
      </w:r>
      <w:r>
        <w:rPr>
          <w:color w:val="000000"/>
          <w:lang w:val="en-GB" w:bidi="th-TH"/>
        </w:rPr>
        <w:t xml:space="preserve"> cfu/L).</w:t>
      </w:r>
    </w:p>
    <w:p w:rsidR="0081460A" w:rsidRPr="00444623" w:rsidRDefault="0081460A" w:rsidP="0081460A">
      <w:pPr>
        <w:rPr>
          <w:lang w:val="en-GB"/>
        </w:rPr>
      </w:pPr>
      <w:r>
        <w:rPr>
          <w:lang w:val="en-GB"/>
        </w:rPr>
        <w:t>C</w:t>
      </w:r>
      <w:r w:rsidRPr="00444623">
        <w:rPr>
          <w:lang w:val="en-GB"/>
        </w:rPr>
        <w:t xml:space="preserve">ommon bacterial pathogens detected in blood cultures </w:t>
      </w:r>
      <w:r>
        <w:rPr>
          <w:lang w:val="en-GB"/>
        </w:rPr>
        <w:t>include</w:t>
      </w:r>
      <w:r w:rsidRPr="00444623">
        <w:rPr>
          <w:lang w:val="en-GB"/>
        </w:rPr>
        <w:t xml:space="preserve">:  </w:t>
      </w:r>
    </w:p>
    <w:tbl>
      <w:tblPr>
        <w:tblStyle w:val="TableGrid"/>
        <w:tblW w:w="7088" w:type="dxa"/>
        <w:tblInd w:w="817" w:type="dxa"/>
        <w:tblLook w:val="04A0" w:firstRow="1" w:lastRow="0" w:firstColumn="1" w:lastColumn="0" w:noHBand="0" w:noVBand="1"/>
      </w:tblPr>
      <w:tblGrid>
        <w:gridCol w:w="3132"/>
        <w:gridCol w:w="3956"/>
      </w:tblGrid>
      <w:tr w:rsidR="0081460A" w:rsidRPr="00444623" w:rsidTr="003E4990">
        <w:tc>
          <w:tcPr>
            <w:tcW w:w="3132" w:type="dxa"/>
            <w:tcBorders>
              <w:bottom w:val="single" w:sz="4" w:space="0" w:color="auto"/>
            </w:tcBorders>
            <w:shd w:val="clear" w:color="auto" w:fill="BFBFBF" w:themeFill="background1" w:themeFillShade="BF"/>
          </w:tcPr>
          <w:p w:rsidR="0081460A" w:rsidRPr="00444623" w:rsidRDefault="0081460A" w:rsidP="0081460A">
            <w:pPr>
              <w:spacing w:after="0"/>
              <w:rPr>
                <w:b/>
                <w:bCs/>
                <w:lang w:val="en-GB"/>
              </w:rPr>
            </w:pPr>
            <w:r>
              <w:rPr>
                <w:b/>
                <w:bCs/>
                <w:lang w:val="en-GB"/>
              </w:rPr>
              <w:t xml:space="preserve">Gram </w:t>
            </w:r>
            <w:r w:rsidRPr="00444623">
              <w:rPr>
                <w:b/>
                <w:bCs/>
                <w:lang w:val="en-GB"/>
              </w:rPr>
              <w:t>positive organisms</w:t>
            </w:r>
          </w:p>
        </w:tc>
        <w:tc>
          <w:tcPr>
            <w:tcW w:w="3956" w:type="dxa"/>
            <w:tcBorders>
              <w:bottom w:val="single" w:sz="4" w:space="0" w:color="auto"/>
            </w:tcBorders>
            <w:shd w:val="clear" w:color="auto" w:fill="BFBFBF" w:themeFill="background1" w:themeFillShade="BF"/>
          </w:tcPr>
          <w:p w:rsidR="0081460A" w:rsidRPr="00444623" w:rsidRDefault="0081460A" w:rsidP="0081460A">
            <w:pPr>
              <w:spacing w:after="0"/>
              <w:rPr>
                <w:b/>
                <w:bCs/>
                <w:lang w:val="en-GB"/>
              </w:rPr>
            </w:pPr>
            <w:r>
              <w:rPr>
                <w:b/>
                <w:bCs/>
                <w:lang w:val="en-GB"/>
              </w:rPr>
              <w:t xml:space="preserve">Gram </w:t>
            </w:r>
            <w:r w:rsidRPr="00444623">
              <w:rPr>
                <w:b/>
                <w:bCs/>
                <w:lang w:val="en-GB"/>
              </w:rPr>
              <w:t>negative organisms</w:t>
            </w:r>
          </w:p>
        </w:tc>
      </w:tr>
      <w:tr w:rsidR="0081460A" w:rsidRPr="00444623" w:rsidTr="003E4990">
        <w:tc>
          <w:tcPr>
            <w:tcW w:w="3132" w:type="dxa"/>
            <w:tcBorders>
              <w:top w:val="single" w:sz="4" w:space="0" w:color="auto"/>
              <w:left w:val="single" w:sz="4" w:space="0" w:color="auto"/>
              <w:bottom w:val="nil"/>
              <w:right w:val="single" w:sz="4" w:space="0" w:color="auto"/>
            </w:tcBorders>
          </w:tcPr>
          <w:p w:rsidR="0081460A" w:rsidRPr="00444623" w:rsidRDefault="0081460A" w:rsidP="0081460A">
            <w:pPr>
              <w:spacing w:after="0"/>
              <w:rPr>
                <w:i/>
                <w:iCs/>
                <w:lang w:val="en-GB"/>
              </w:rPr>
            </w:pPr>
            <w:r w:rsidRPr="00444623">
              <w:rPr>
                <w:i/>
                <w:iCs/>
                <w:lang w:val="en-GB"/>
              </w:rPr>
              <w:t>Staphylococcus aureus</w:t>
            </w:r>
          </w:p>
        </w:tc>
        <w:tc>
          <w:tcPr>
            <w:tcW w:w="3956" w:type="dxa"/>
            <w:tcBorders>
              <w:top w:val="single" w:sz="4" w:space="0" w:color="auto"/>
              <w:left w:val="single" w:sz="4" w:space="0" w:color="auto"/>
              <w:bottom w:val="nil"/>
              <w:right w:val="single" w:sz="4" w:space="0" w:color="auto"/>
            </w:tcBorders>
          </w:tcPr>
          <w:p w:rsidR="0081460A" w:rsidRPr="00444623" w:rsidRDefault="0081460A" w:rsidP="0081460A">
            <w:pPr>
              <w:spacing w:after="0"/>
              <w:rPr>
                <w:i/>
                <w:iCs/>
                <w:lang w:val="en-GB"/>
              </w:rPr>
            </w:pPr>
            <w:r w:rsidRPr="00444623">
              <w:rPr>
                <w:i/>
                <w:iCs/>
                <w:lang w:val="en-GB"/>
              </w:rPr>
              <w:t>Escherichia coli</w:t>
            </w:r>
          </w:p>
        </w:tc>
      </w:tr>
      <w:tr w:rsidR="0081460A" w:rsidRPr="00444623" w:rsidTr="003E4990">
        <w:tc>
          <w:tcPr>
            <w:tcW w:w="3132" w:type="dxa"/>
            <w:tcBorders>
              <w:top w:val="nil"/>
              <w:left w:val="single" w:sz="4" w:space="0" w:color="auto"/>
              <w:bottom w:val="nil"/>
              <w:right w:val="single" w:sz="4" w:space="0" w:color="auto"/>
            </w:tcBorders>
          </w:tcPr>
          <w:p w:rsidR="0081460A" w:rsidRPr="00444623" w:rsidRDefault="0081460A" w:rsidP="0081460A">
            <w:pPr>
              <w:spacing w:after="0"/>
              <w:rPr>
                <w:i/>
                <w:iCs/>
                <w:lang w:val="en-GB"/>
              </w:rPr>
            </w:pPr>
            <w:r w:rsidRPr="00444623">
              <w:rPr>
                <w:i/>
                <w:iCs/>
                <w:lang w:val="en-GB"/>
              </w:rPr>
              <w:t>Streptococcus pneumoniae</w:t>
            </w:r>
          </w:p>
        </w:tc>
        <w:tc>
          <w:tcPr>
            <w:tcW w:w="3956" w:type="dxa"/>
            <w:tcBorders>
              <w:top w:val="nil"/>
              <w:left w:val="single" w:sz="4" w:space="0" w:color="auto"/>
              <w:bottom w:val="nil"/>
              <w:right w:val="single" w:sz="4" w:space="0" w:color="auto"/>
            </w:tcBorders>
          </w:tcPr>
          <w:p w:rsidR="0081460A" w:rsidRPr="00444623" w:rsidRDefault="0081460A" w:rsidP="0081460A">
            <w:pPr>
              <w:spacing w:after="0"/>
              <w:rPr>
                <w:i/>
                <w:iCs/>
                <w:lang w:val="en-GB"/>
              </w:rPr>
            </w:pPr>
            <w:r w:rsidRPr="00444623">
              <w:rPr>
                <w:i/>
                <w:iCs/>
                <w:lang w:val="en-GB"/>
              </w:rPr>
              <w:t xml:space="preserve">Klebsiella </w:t>
            </w:r>
            <w:r w:rsidRPr="00444623">
              <w:rPr>
                <w:lang w:val="en-GB"/>
              </w:rPr>
              <w:t>spp.</w:t>
            </w:r>
          </w:p>
        </w:tc>
      </w:tr>
      <w:tr w:rsidR="0081460A" w:rsidRPr="00444623" w:rsidTr="003E4990">
        <w:tc>
          <w:tcPr>
            <w:tcW w:w="3132" w:type="dxa"/>
            <w:tcBorders>
              <w:top w:val="nil"/>
              <w:left w:val="single" w:sz="4" w:space="0" w:color="auto"/>
              <w:bottom w:val="nil"/>
              <w:right w:val="single" w:sz="4" w:space="0" w:color="auto"/>
            </w:tcBorders>
          </w:tcPr>
          <w:p w:rsidR="0081460A" w:rsidRPr="00444623" w:rsidRDefault="0081460A" w:rsidP="0081460A">
            <w:pPr>
              <w:spacing w:after="0"/>
              <w:rPr>
                <w:i/>
                <w:iCs/>
                <w:lang w:val="en-GB"/>
              </w:rPr>
            </w:pPr>
            <w:r w:rsidRPr="00444623">
              <w:rPr>
                <w:i/>
                <w:iCs/>
                <w:lang w:val="en-GB"/>
              </w:rPr>
              <w:t>S. pyogenes (group A)</w:t>
            </w:r>
          </w:p>
        </w:tc>
        <w:tc>
          <w:tcPr>
            <w:tcW w:w="3956" w:type="dxa"/>
            <w:tcBorders>
              <w:top w:val="nil"/>
              <w:left w:val="single" w:sz="4" w:space="0" w:color="auto"/>
              <w:bottom w:val="nil"/>
              <w:right w:val="single" w:sz="4" w:space="0" w:color="auto"/>
            </w:tcBorders>
          </w:tcPr>
          <w:p w:rsidR="0081460A" w:rsidRPr="00444623" w:rsidRDefault="0081460A" w:rsidP="0081460A">
            <w:pPr>
              <w:spacing w:after="0"/>
              <w:rPr>
                <w:i/>
                <w:iCs/>
                <w:lang w:val="en-GB"/>
              </w:rPr>
            </w:pPr>
            <w:r w:rsidRPr="00444623">
              <w:rPr>
                <w:i/>
                <w:iCs/>
                <w:lang w:val="en-GB"/>
              </w:rPr>
              <w:t xml:space="preserve">Enterobacter </w:t>
            </w:r>
            <w:r w:rsidRPr="00444623">
              <w:rPr>
                <w:lang w:val="en-GB"/>
              </w:rPr>
              <w:t>spp.</w:t>
            </w:r>
          </w:p>
        </w:tc>
      </w:tr>
      <w:tr w:rsidR="0081460A" w:rsidRPr="00444623" w:rsidTr="003E4990">
        <w:tc>
          <w:tcPr>
            <w:tcW w:w="3132" w:type="dxa"/>
            <w:tcBorders>
              <w:top w:val="nil"/>
              <w:left w:val="single" w:sz="4" w:space="0" w:color="auto"/>
              <w:bottom w:val="nil"/>
              <w:right w:val="single" w:sz="4" w:space="0" w:color="auto"/>
            </w:tcBorders>
          </w:tcPr>
          <w:p w:rsidR="0081460A" w:rsidRPr="00444623" w:rsidRDefault="0081460A" w:rsidP="0081460A">
            <w:pPr>
              <w:spacing w:after="0"/>
              <w:rPr>
                <w:i/>
                <w:iCs/>
                <w:lang w:val="en-GB"/>
              </w:rPr>
            </w:pPr>
            <w:r w:rsidRPr="00444623">
              <w:rPr>
                <w:i/>
                <w:iCs/>
                <w:lang w:val="en-GB"/>
              </w:rPr>
              <w:t>S. agalactiae (group B)</w:t>
            </w:r>
          </w:p>
        </w:tc>
        <w:tc>
          <w:tcPr>
            <w:tcW w:w="3956" w:type="dxa"/>
            <w:tcBorders>
              <w:top w:val="nil"/>
              <w:left w:val="single" w:sz="4" w:space="0" w:color="auto"/>
              <w:bottom w:val="nil"/>
              <w:right w:val="single" w:sz="4" w:space="0" w:color="auto"/>
            </w:tcBorders>
          </w:tcPr>
          <w:p w:rsidR="0081460A" w:rsidRPr="00444623" w:rsidRDefault="0081460A" w:rsidP="0081460A">
            <w:pPr>
              <w:spacing w:after="0"/>
              <w:rPr>
                <w:i/>
                <w:iCs/>
                <w:lang w:val="en-GB"/>
              </w:rPr>
            </w:pPr>
            <w:r w:rsidRPr="00444623">
              <w:rPr>
                <w:i/>
                <w:iCs/>
                <w:lang w:val="en-GB"/>
              </w:rPr>
              <w:t xml:space="preserve">Salmonella </w:t>
            </w:r>
            <w:r w:rsidRPr="00444623">
              <w:rPr>
                <w:lang w:val="en-GB"/>
              </w:rPr>
              <w:t>spp.</w:t>
            </w:r>
            <w:r w:rsidRPr="00444623">
              <w:rPr>
                <w:i/>
                <w:iCs/>
                <w:lang w:val="en-GB"/>
              </w:rPr>
              <w:t xml:space="preserve"> (incl. S. </w:t>
            </w:r>
            <w:r w:rsidRPr="00444623">
              <w:rPr>
                <w:iCs/>
                <w:lang w:val="en-GB"/>
              </w:rPr>
              <w:t>Typhi</w:t>
            </w:r>
            <w:r w:rsidRPr="00444623">
              <w:rPr>
                <w:i/>
                <w:iCs/>
                <w:lang w:val="en-GB"/>
              </w:rPr>
              <w:t>)</w:t>
            </w:r>
          </w:p>
        </w:tc>
      </w:tr>
      <w:tr w:rsidR="0081460A" w:rsidRPr="00444623" w:rsidTr="003E4990">
        <w:tc>
          <w:tcPr>
            <w:tcW w:w="3132" w:type="dxa"/>
            <w:tcBorders>
              <w:top w:val="nil"/>
              <w:left w:val="single" w:sz="4" w:space="0" w:color="auto"/>
              <w:bottom w:val="nil"/>
              <w:right w:val="single" w:sz="4" w:space="0" w:color="auto"/>
            </w:tcBorders>
          </w:tcPr>
          <w:p w:rsidR="0081460A" w:rsidRPr="00444623" w:rsidRDefault="0081460A" w:rsidP="0081460A">
            <w:pPr>
              <w:spacing w:after="0"/>
              <w:rPr>
                <w:i/>
                <w:iCs/>
                <w:lang w:val="en-GB"/>
              </w:rPr>
            </w:pPr>
            <w:r w:rsidRPr="00444623">
              <w:rPr>
                <w:i/>
                <w:iCs/>
                <w:lang w:val="en-GB"/>
              </w:rPr>
              <w:t xml:space="preserve">Enterococcus </w:t>
            </w:r>
            <w:r w:rsidRPr="00444623">
              <w:rPr>
                <w:lang w:val="en-GB"/>
              </w:rPr>
              <w:t>spp.</w:t>
            </w:r>
          </w:p>
        </w:tc>
        <w:tc>
          <w:tcPr>
            <w:tcW w:w="3956" w:type="dxa"/>
            <w:tcBorders>
              <w:top w:val="nil"/>
              <w:left w:val="single" w:sz="4" w:space="0" w:color="auto"/>
              <w:bottom w:val="nil"/>
              <w:right w:val="single" w:sz="4" w:space="0" w:color="auto"/>
            </w:tcBorders>
          </w:tcPr>
          <w:p w:rsidR="0081460A" w:rsidRPr="00444623" w:rsidRDefault="0081460A" w:rsidP="0081460A">
            <w:pPr>
              <w:spacing w:after="0"/>
              <w:rPr>
                <w:i/>
                <w:iCs/>
                <w:lang w:val="en-GB"/>
              </w:rPr>
            </w:pPr>
            <w:r w:rsidRPr="00444623">
              <w:rPr>
                <w:i/>
                <w:iCs/>
                <w:lang w:val="en-GB"/>
              </w:rPr>
              <w:t>Pseudomonas aeruginosa</w:t>
            </w:r>
          </w:p>
        </w:tc>
      </w:tr>
      <w:tr w:rsidR="0081460A" w:rsidRPr="00444623" w:rsidTr="003E4990">
        <w:tc>
          <w:tcPr>
            <w:tcW w:w="3132" w:type="dxa"/>
            <w:tcBorders>
              <w:top w:val="nil"/>
              <w:left w:val="single" w:sz="4" w:space="0" w:color="auto"/>
              <w:bottom w:val="nil"/>
              <w:right w:val="single" w:sz="4" w:space="0" w:color="auto"/>
            </w:tcBorders>
          </w:tcPr>
          <w:p w:rsidR="0081460A" w:rsidRPr="00444623" w:rsidRDefault="0081460A" w:rsidP="0081460A">
            <w:pPr>
              <w:spacing w:after="0"/>
              <w:rPr>
                <w:i/>
                <w:iCs/>
                <w:lang w:val="en-GB"/>
              </w:rPr>
            </w:pPr>
            <w:r w:rsidRPr="00444623">
              <w:rPr>
                <w:i/>
                <w:iCs/>
                <w:lang w:val="en-GB"/>
              </w:rPr>
              <w:t>Listeria monocytogenes</w:t>
            </w:r>
          </w:p>
        </w:tc>
        <w:tc>
          <w:tcPr>
            <w:tcW w:w="3956" w:type="dxa"/>
            <w:tcBorders>
              <w:top w:val="nil"/>
              <w:left w:val="single" w:sz="4" w:space="0" w:color="auto"/>
              <w:bottom w:val="nil"/>
              <w:right w:val="single" w:sz="4" w:space="0" w:color="auto"/>
            </w:tcBorders>
          </w:tcPr>
          <w:p w:rsidR="0081460A" w:rsidRPr="00444623" w:rsidRDefault="0081460A" w:rsidP="0081460A">
            <w:pPr>
              <w:spacing w:after="0"/>
              <w:rPr>
                <w:i/>
                <w:iCs/>
                <w:lang w:val="en-GB"/>
              </w:rPr>
            </w:pPr>
            <w:r w:rsidRPr="00444623">
              <w:rPr>
                <w:i/>
                <w:iCs/>
                <w:lang w:val="en-GB"/>
              </w:rPr>
              <w:t>Neisseria meningitidis</w:t>
            </w:r>
          </w:p>
        </w:tc>
      </w:tr>
      <w:tr w:rsidR="0081460A" w:rsidRPr="00444623" w:rsidTr="003E4990">
        <w:tc>
          <w:tcPr>
            <w:tcW w:w="3132" w:type="dxa"/>
            <w:tcBorders>
              <w:top w:val="nil"/>
              <w:left w:val="single" w:sz="4" w:space="0" w:color="auto"/>
              <w:bottom w:val="single" w:sz="4" w:space="0" w:color="auto"/>
              <w:right w:val="single" w:sz="4" w:space="0" w:color="auto"/>
            </w:tcBorders>
          </w:tcPr>
          <w:p w:rsidR="0081460A" w:rsidRPr="00444623" w:rsidRDefault="0081460A" w:rsidP="0081460A">
            <w:pPr>
              <w:spacing w:after="0"/>
              <w:rPr>
                <w:i/>
                <w:iCs/>
                <w:lang w:val="en-GB"/>
              </w:rPr>
            </w:pPr>
          </w:p>
        </w:tc>
        <w:tc>
          <w:tcPr>
            <w:tcW w:w="3956" w:type="dxa"/>
            <w:tcBorders>
              <w:top w:val="nil"/>
              <w:left w:val="single" w:sz="4" w:space="0" w:color="auto"/>
              <w:bottom w:val="single" w:sz="4" w:space="0" w:color="auto"/>
              <w:right w:val="single" w:sz="4" w:space="0" w:color="auto"/>
            </w:tcBorders>
          </w:tcPr>
          <w:p w:rsidR="0081460A" w:rsidRDefault="0081460A" w:rsidP="0081460A">
            <w:pPr>
              <w:spacing w:after="0"/>
              <w:rPr>
                <w:i/>
                <w:iCs/>
                <w:lang w:val="en-GB"/>
              </w:rPr>
            </w:pPr>
            <w:r w:rsidRPr="00444623">
              <w:rPr>
                <w:i/>
                <w:iCs/>
                <w:lang w:val="en-GB"/>
              </w:rPr>
              <w:t>Haemophilus influenzae</w:t>
            </w:r>
          </w:p>
          <w:p w:rsidR="0081460A" w:rsidRPr="00444623" w:rsidRDefault="0081460A" w:rsidP="0081460A">
            <w:pPr>
              <w:spacing w:after="0"/>
              <w:rPr>
                <w:i/>
                <w:iCs/>
                <w:lang w:val="en-GB"/>
              </w:rPr>
            </w:pPr>
            <w:r>
              <w:rPr>
                <w:i/>
                <w:iCs/>
                <w:lang w:val="en-GB"/>
              </w:rPr>
              <w:t>Burkholderia pseudomallei</w:t>
            </w:r>
          </w:p>
        </w:tc>
      </w:tr>
    </w:tbl>
    <w:p w:rsidR="0081460A" w:rsidRPr="00444623" w:rsidRDefault="0081460A" w:rsidP="0081460A">
      <w:pPr>
        <w:spacing w:before="120"/>
        <w:rPr>
          <w:color w:val="000000"/>
          <w:lang w:val="en-GB" w:bidi="th-TH"/>
        </w:rPr>
      </w:pPr>
      <w:r w:rsidRPr="00444623">
        <w:rPr>
          <w:color w:val="000000"/>
          <w:lang w:val="en-GB" w:bidi="th-TH"/>
        </w:rPr>
        <w:t xml:space="preserve">In addition to bacteraemia, certain fungi may also cause blood stream infection (fungaemia), most notably </w:t>
      </w:r>
      <w:r w:rsidRPr="00444623">
        <w:rPr>
          <w:i/>
          <w:color w:val="000000"/>
          <w:lang w:val="en-GB" w:bidi="th-TH"/>
        </w:rPr>
        <w:t xml:space="preserve">Candida </w:t>
      </w:r>
      <w:r w:rsidRPr="00444623">
        <w:rPr>
          <w:color w:val="000000"/>
          <w:lang w:val="en-GB" w:bidi="th-TH"/>
        </w:rPr>
        <w:t>spp.</w:t>
      </w:r>
    </w:p>
    <w:p w:rsidR="0081460A" w:rsidRPr="00444623" w:rsidRDefault="0081460A" w:rsidP="0081460A">
      <w:pPr>
        <w:rPr>
          <w:color w:val="000000"/>
          <w:lang w:val="en-GB" w:bidi="th-TH"/>
        </w:rPr>
      </w:pPr>
      <w:r w:rsidRPr="00444623">
        <w:rPr>
          <w:color w:val="000000"/>
          <w:lang w:val="en-GB" w:bidi="th-TH"/>
        </w:rPr>
        <w:t xml:space="preserve">Contamination of the </w:t>
      </w:r>
      <w:r>
        <w:rPr>
          <w:color w:val="000000"/>
          <w:lang w:val="en-GB" w:bidi="th-TH"/>
        </w:rPr>
        <w:t xml:space="preserve">blood </w:t>
      </w:r>
      <w:r w:rsidRPr="00444623">
        <w:rPr>
          <w:color w:val="000000"/>
          <w:lang w:val="en-GB" w:bidi="th-TH"/>
        </w:rPr>
        <w:t>sam</w:t>
      </w:r>
      <w:r>
        <w:rPr>
          <w:color w:val="000000"/>
          <w:lang w:val="en-GB" w:bidi="th-TH"/>
        </w:rPr>
        <w:t>ple during sample collection may</w:t>
      </w:r>
      <w:r w:rsidRPr="00444623">
        <w:rPr>
          <w:color w:val="000000"/>
          <w:lang w:val="en-GB" w:bidi="th-TH"/>
        </w:rPr>
        <w:t xml:space="preserve"> occur.  Organisms which are </w:t>
      </w:r>
      <w:r>
        <w:rPr>
          <w:color w:val="000000"/>
          <w:lang w:val="en-GB" w:bidi="th-TH"/>
        </w:rPr>
        <w:t xml:space="preserve">often </w:t>
      </w:r>
      <w:r w:rsidRPr="00444623">
        <w:rPr>
          <w:color w:val="000000"/>
          <w:lang w:val="en-GB" w:bidi="th-TH"/>
        </w:rPr>
        <w:t xml:space="preserve">regarded as skin commensals and of unlikely significance include coagulase negative </w:t>
      </w:r>
      <w:r>
        <w:rPr>
          <w:color w:val="000000"/>
          <w:lang w:val="en-GB" w:bidi="th-TH"/>
        </w:rPr>
        <w:t>s</w:t>
      </w:r>
      <w:r w:rsidRPr="00444623">
        <w:rPr>
          <w:color w:val="000000"/>
          <w:lang w:val="en-GB" w:bidi="th-TH"/>
        </w:rPr>
        <w:t xml:space="preserve">taphylococci (CoNS), diphtheroids </w:t>
      </w:r>
      <w:r>
        <w:rPr>
          <w:color w:val="000000"/>
          <w:lang w:val="en-GB" w:bidi="th-TH"/>
        </w:rPr>
        <w:t xml:space="preserve">(Gram positive rods with morphology similar to </w:t>
      </w:r>
      <w:r w:rsidRPr="00641BD6">
        <w:rPr>
          <w:i/>
          <w:color w:val="000000"/>
          <w:lang w:val="en-GB" w:bidi="th-TH"/>
        </w:rPr>
        <w:t>Corynebacterium</w:t>
      </w:r>
      <w:r w:rsidR="00EA14CC">
        <w:rPr>
          <w:color w:val="000000"/>
          <w:lang w:val="en-GB" w:bidi="th-TH"/>
        </w:rPr>
        <w:t xml:space="preserve"> spp.) </w:t>
      </w:r>
      <w:r w:rsidRPr="00444623">
        <w:rPr>
          <w:color w:val="000000"/>
          <w:lang w:val="en-GB" w:bidi="th-TH"/>
        </w:rPr>
        <w:t xml:space="preserve">and </w:t>
      </w:r>
      <w:r w:rsidRPr="00444623">
        <w:rPr>
          <w:i/>
          <w:iCs/>
          <w:color w:val="000000"/>
          <w:lang w:val="en-GB" w:bidi="th-TH"/>
        </w:rPr>
        <w:t xml:space="preserve">Bacillus </w:t>
      </w:r>
      <w:r w:rsidRPr="00444623">
        <w:rPr>
          <w:color w:val="000000"/>
          <w:lang w:val="en-GB" w:bidi="th-TH"/>
        </w:rPr>
        <w:t>sp</w:t>
      </w:r>
      <w:r>
        <w:rPr>
          <w:color w:val="000000"/>
          <w:lang w:val="en-GB" w:bidi="th-TH"/>
        </w:rPr>
        <w:t>p</w:t>
      </w:r>
      <w:r w:rsidRPr="00444623">
        <w:rPr>
          <w:color w:val="000000"/>
          <w:lang w:val="en-GB" w:bidi="th-TH"/>
        </w:rPr>
        <w:t xml:space="preserve">. (excluding </w:t>
      </w:r>
      <w:r w:rsidRPr="00444623">
        <w:rPr>
          <w:i/>
          <w:iCs/>
          <w:color w:val="000000"/>
          <w:lang w:val="en-GB" w:bidi="th-TH"/>
        </w:rPr>
        <w:t>B. anthracis</w:t>
      </w:r>
      <w:r w:rsidRPr="00444623">
        <w:rPr>
          <w:color w:val="000000"/>
          <w:lang w:val="en-GB" w:bidi="th-TH"/>
        </w:rPr>
        <w:t>).</w:t>
      </w:r>
      <w:r>
        <w:rPr>
          <w:color w:val="000000"/>
          <w:lang w:val="en-GB" w:bidi="th-TH"/>
        </w:rPr>
        <w:t xml:space="preserve"> Isolation of the same “contaminant” from multiple sets of blood cultures from the same patient should prompt re-evaluation of significance and further investigation.</w:t>
      </w:r>
    </w:p>
    <w:p w:rsidR="00BF4A7B" w:rsidRPr="00093BA1" w:rsidRDefault="00BF4A7B" w:rsidP="002C3D24">
      <w:pPr>
        <w:rPr>
          <w:lang w:val="en-GB"/>
        </w:rPr>
      </w:pPr>
    </w:p>
    <w:p w:rsidR="00BF4A7B" w:rsidRPr="00093BA1" w:rsidRDefault="00BF4A7B" w:rsidP="002C3D24">
      <w:pPr>
        <w:rPr>
          <w:lang w:val="en-GB"/>
        </w:rPr>
        <w:sectPr w:rsidR="00BF4A7B" w:rsidRPr="00093BA1" w:rsidSect="006C64AF">
          <w:headerReference w:type="default" r:id="rId8"/>
          <w:footerReference w:type="default" r:id="rId9"/>
          <w:pgSz w:w="12240" w:h="15840"/>
          <w:pgMar w:top="1440" w:right="1800" w:bottom="1440" w:left="1800" w:header="708" w:footer="708" w:gutter="0"/>
          <w:cols w:space="708"/>
          <w:docGrid w:linePitch="326"/>
        </w:sectPr>
      </w:pPr>
    </w:p>
    <w:p w:rsidR="00BF4A7B" w:rsidRPr="00093BA1" w:rsidRDefault="00BF4A7B" w:rsidP="002C3D24">
      <w:pPr>
        <w:pStyle w:val="Heading1"/>
        <w:rPr>
          <w:lang w:val="en-GB"/>
        </w:rPr>
      </w:pPr>
      <w:r w:rsidRPr="00093BA1">
        <w:rPr>
          <w:lang w:val="en-GB"/>
        </w:rPr>
        <w:lastRenderedPageBreak/>
        <w:t>Method</w:t>
      </w:r>
    </w:p>
    <w:p w:rsidR="00F3273D" w:rsidRPr="00093BA1" w:rsidRDefault="00F3273D" w:rsidP="002C3D24">
      <w:pPr>
        <w:pStyle w:val="Heading2"/>
        <w:rPr>
          <w:lang w:val="en-GB"/>
        </w:rPr>
      </w:pPr>
      <w:r w:rsidRPr="00093BA1">
        <w:rPr>
          <w:lang w:val="en-GB"/>
        </w:rPr>
        <w:t>Specimen collection</w:t>
      </w:r>
    </w:p>
    <w:p w:rsidR="0081460A" w:rsidRDefault="0081460A" w:rsidP="0081460A">
      <w:pPr>
        <w:rPr>
          <w:lang w:val="en-GB"/>
        </w:rPr>
      </w:pPr>
      <w:r>
        <w:rPr>
          <w:lang w:val="en-GB"/>
        </w:rPr>
        <w:t>Ideally specimens for blood culture should be collected prior to initiation of antimicrobial therapy and as soon as possible after a spike of fever.</w:t>
      </w:r>
    </w:p>
    <w:p w:rsidR="0081460A" w:rsidRDefault="0081460A" w:rsidP="0081460A">
      <w:pPr>
        <w:rPr>
          <w:lang w:val="en-GB"/>
        </w:rPr>
      </w:pPr>
      <w:r>
        <w:rPr>
          <w:lang w:val="en-GB"/>
        </w:rPr>
        <w:t>The volume of blood cultured is the most significant factor affecting the detection of bacteraemia:</w:t>
      </w:r>
    </w:p>
    <w:p w:rsidR="0081460A" w:rsidRDefault="0081460A" w:rsidP="0081460A">
      <w:pPr>
        <w:pStyle w:val="ListParagraph"/>
        <w:numPr>
          <w:ilvl w:val="0"/>
          <w:numId w:val="14"/>
        </w:numPr>
        <w:rPr>
          <w:lang w:val="en-GB"/>
        </w:rPr>
      </w:pPr>
      <w:r w:rsidRPr="0081460A">
        <w:rPr>
          <w:lang w:val="en-GB"/>
        </w:rPr>
        <w:t>For children, a minimum of 1 ml is recommended (and no more than 1% of total blood volume should be cultured)</w:t>
      </w:r>
    </w:p>
    <w:p w:rsidR="00EA14CC" w:rsidRPr="00EA14CC" w:rsidRDefault="00EA14CC" w:rsidP="00EA14CC">
      <w:pPr>
        <w:pStyle w:val="ListParagraph"/>
        <w:numPr>
          <w:ilvl w:val="0"/>
          <w:numId w:val="14"/>
        </w:numPr>
        <w:rPr>
          <w:lang w:val="en-GB"/>
        </w:rPr>
      </w:pPr>
      <w:r w:rsidRPr="0081460A">
        <w:rPr>
          <w:lang w:val="en-GB"/>
        </w:rPr>
        <w:t>For adults, 20-30 ml of blood is recommended</w:t>
      </w:r>
    </w:p>
    <w:p w:rsidR="0081460A" w:rsidRDefault="0081460A" w:rsidP="0081460A">
      <w:pPr>
        <w:rPr>
          <w:lang w:val="en-GB"/>
        </w:rPr>
      </w:pPr>
      <w:r>
        <w:rPr>
          <w:lang w:val="en-GB"/>
        </w:rPr>
        <w:t xml:space="preserve">Culture bottles may be weighed before and after inoculation to estimate volume of blood cultured (1g </w:t>
      </w:r>
      <w:r>
        <w:rPr>
          <w:lang w:val="en-GB"/>
        </w:rPr>
        <w:sym w:font="Symbol" w:char="F040"/>
      </w:r>
      <w:r>
        <w:rPr>
          <w:lang w:val="en-GB"/>
        </w:rPr>
        <w:t xml:space="preserve"> 1ml blood)</w:t>
      </w:r>
      <w:r w:rsidR="00EA14CC">
        <w:rPr>
          <w:lang w:val="en-GB"/>
        </w:rPr>
        <w:t>, taking into account the weight of the bottle cap.</w:t>
      </w:r>
    </w:p>
    <w:p w:rsidR="0081460A" w:rsidRDefault="0081460A" w:rsidP="0081460A">
      <w:pPr>
        <w:rPr>
          <w:lang w:val="en-GB"/>
        </w:rPr>
      </w:pPr>
      <w:r>
        <w:rPr>
          <w:lang w:val="en-GB"/>
        </w:rPr>
        <w:t>For bottles containing 0.05% sodium polyanethol sulphonate (SPS), a blood to broth ration of 1:5 to 1:10 is optimal (e.g. 2–4ml of blood added to a 20 ml paediatric culture bottle).</w:t>
      </w:r>
    </w:p>
    <w:p w:rsidR="00EA14CC" w:rsidRPr="00060CD0" w:rsidRDefault="00EA14CC" w:rsidP="0081460A">
      <w:pPr>
        <w:rPr>
          <w:lang w:val="en-GB"/>
        </w:rPr>
      </w:pPr>
      <w:r>
        <w:rPr>
          <w:lang w:val="en-GB"/>
        </w:rPr>
        <w:t>Skin should be thoroughly cleaned with a 70% ethanol-2% chlorhexidine solution, and allowed to dry, prior to venepuncture. Following venepuncture using a non-touch technique, blood should be inoculated into the blood culture bottle prior to inoculation of other blood tubes (e.g. EDTA CBC tube). The rubber septum of the blood culture bottle must be disinfected with 70% ethanol prior to inoculation.</w:t>
      </w:r>
    </w:p>
    <w:p w:rsidR="00E303D4" w:rsidRPr="00093BA1" w:rsidRDefault="00E303D4" w:rsidP="002C3D24">
      <w:pPr>
        <w:pStyle w:val="Heading2"/>
        <w:rPr>
          <w:lang w:val="en-GB"/>
        </w:rPr>
      </w:pPr>
      <w:r w:rsidRPr="00093BA1">
        <w:rPr>
          <w:lang w:val="en-GB"/>
        </w:rPr>
        <w:t>Specimen transport and storage</w:t>
      </w:r>
    </w:p>
    <w:p w:rsidR="0081460A" w:rsidRPr="00444623" w:rsidRDefault="0081460A" w:rsidP="0081460A">
      <w:pPr>
        <w:rPr>
          <w:lang w:val="en-GB"/>
        </w:rPr>
      </w:pPr>
      <w:r w:rsidRPr="00444623">
        <w:rPr>
          <w:lang w:val="en-GB"/>
        </w:rPr>
        <w:t>After inoculation, bottles should be transported to the microbiology laboratory without delay in a sealed plastic bag or rigid specimen container. If a delay in processing is unavoidable, then inoculated bottles should be maintained at ambient temperature (and must not be refrigerated).</w:t>
      </w:r>
    </w:p>
    <w:p w:rsidR="00E303D4" w:rsidRPr="00093BA1" w:rsidRDefault="00E303D4" w:rsidP="002C3D24">
      <w:pPr>
        <w:pStyle w:val="Heading2"/>
        <w:rPr>
          <w:lang w:val="en-GB"/>
        </w:rPr>
      </w:pPr>
      <w:r w:rsidRPr="00093BA1">
        <w:rPr>
          <w:lang w:val="en-GB"/>
        </w:rPr>
        <w:t>Specimen processing</w:t>
      </w:r>
    </w:p>
    <w:p w:rsidR="00E303D4" w:rsidRPr="00093BA1" w:rsidRDefault="00E303D4" w:rsidP="002C3D24">
      <w:pPr>
        <w:pStyle w:val="Heading3"/>
        <w:rPr>
          <w:lang w:val="en-GB"/>
        </w:rPr>
      </w:pPr>
      <w:r w:rsidRPr="00093BA1">
        <w:rPr>
          <w:lang w:val="en-GB"/>
        </w:rPr>
        <w:t>Reception</w:t>
      </w:r>
    </w:p>
    <w:p w:rsidR="0081460A" w:rsidRPr="00444623" w:rsidRDefault="0081460A" w:rsidP="0081460A">
      <w:pPr>
        <w:rPr>
          <w:lang w:val="en-GB"/>
        </w:rPr>
      </w:pPr>
      <w:r w:rsidRPr="00444623">
        <w:rPr>
          <w:lang w:val="en-GB"/>
        </w:rPr>
        <w:t>Log the specimen in the appropriate specimen book and assign a specimen number.</w:t>
      </w:r>
    </w:p>
    <w:p w:rsidR="0081460A" w:rsidRDefault="0081460A" w:rsidP="0081460A">
      <w:pPr>
        <w:rPr>
          <w:lang w:val="en-GB"/>
        </w:rPr>
      </w:pPr>
      <w:r w:rsidRPr="00444623">
        <w:rPr>
          <w:lang w:val="en-GB"/>
        </w:rPr>
        <w:t>Record the weight of the bottle and record the out-going weight and in-coming weight on the specimen request form / lab logbook.</w:t>
      </w:r>
    </w:p>
    <w:p w:rsidR="00E303D4" w:rsidRPr="00093BA1" w:rsidRDefault="005544A3" w:rsidP="002C3D24">
      <w:pPr>
        <w:pStyle w:val="Heading3"/>
        <w:rPr>
          <w:lang w:val="en-GB"/>
        </w:rPr>
      </w:pPr>
      <w:r w:rsidRPr="00093BA1">
        <w:rPr>
          <w:lang w:val="en-GB"/>
        </w:rPr>
        <w:t>Culture</w:t>
      </w:r>
    </w:p>
    <w:p w:rsidR="0081460A" w:rsidRDefault="0081460A" w:rsidP="000760CE">
      <w:pPr>
        <w:rPr>
          <w:lang w:val="en-GB"/>
        </w:rPr>
      </w:pPr>
      <w:r>
        <w:rPr>
          <w:lang w:val="en-GB"/>
        </w:rPr>
        <w:t>All blood culture bottle manipulations must be carried out in the Class II biosafety cabinet.</w:t>
      </w:r>
    </w:p>
    <w:p w:rsidR="0081460A" w:rsidRDefault="0081460A" w:rsidP="000760CE">
      <w:pPr>
        <w:rPr>
          <w:lang w:val="en-GB"/>
        </w:rPr>
      </w:pPr>
      <w:r>
        <w:rPr>
          <w:lang w:val="en-GB"/>
        </w:rPr>
        <w:t>Venting of bottles:</w:t>
      </w:r>
    </w:p>
    <w:p w:rsidR="0081460A" w:rsidRPr="000760CE" w:rsidRDefault="0081460A" w:rsidP="000760CE">
      <w:pPr>
        <w:pStyle w:val="ListParagraph"/>
        <w:numPr>
          <w:ilvl w:val="0"/>
          <w:numId w:val="25"/>
        </w:numPr>
        <w:rPr>
          <w:lang w:val="en-GB"/>
        </w:rPr>
      </w:pPr>
      <w:r w:rsidRPr="000760CE">
        <w:rPr>
          <w:lang w:val="en-GB"/>
        </w:rPr>
        <w:t>Disinfect the rubber septum with 70% ethanol and allow to dry</w:t>
      </w:r>
    </w:p>
    <w:p w:rsidR="0081460A" w:rsidRPr="000760CE" w:rsidRDefault="0081460A" w:rsidP="000760CE">
      <w:pPr>
        <w:pStyle w:val="ListParagraph"/>
        <w:numPr>
          <w:ilvl w:val="0"/>
          <w:numId w:val="25"/>
        </w:numPr>
        <w:rPr>
          <w:lang w:val="en-GB"/>
        </w:rPr>
      </w:pPr>
      <w:r w:rsidRPr="000760CE">
        <w:rPr>
          <w:lang w:val="en-GB"/>
        </w:rPr>
        <w:lastRenderedPageBreak/>
        <w:t>Vent the bottle by inserting a sterile BD sub-vent needle through the s</w:t>
      </w:r>
      <w:r w:rsidR="006E5878">
        <w:rPr>
          <w:lang w:val="en-GB"/>
        </w:rPr>
        <w:t>eptum, leaving the cap in place</w:t>
      </w:r>
    </w:p>
    <w:p w:rsidR="0081460A" w:rsidRDefault="0081460A" w:rsidP="000760CE">
      <w:pPr>
        <w:rPr>
          <w:lang w:val="en-GB"/>
        </w:rPr>
      </w:pPr>
      <w:r>
        <w:rPr>
          <w:lang w:val="en-GB"/>
        </w:rPr>
        <w:t>The vented bottle is incubated at 35-37</w:t>
      </w:r>
      <w:r>
        <w:rPr>
          <w:lang w:val="en-GB"/>
        </w:rPr>
        <w:sym w:font="Symbol" w:char="F0B0"/>
      </w:r>
      <w:r>
        <w:rPr>
          <w:lang w:val="en-GB"/>
        </w:rPr>
        <w:t>C in air and inspected daily for seven days for signs of bacterial growth (turbidity or bowed septum).</w:t>
      </w:r>
    </w:p>
    <w:p w:rsidR="0081460A" w:rsidRDefault="0081460A" w:rsidP="000760CE">
      <w:pPr>
        <w:rPr>
          <w:lang w:val="en-GB"/>
        </w:rPr>
      </w:pPr>
      <w:r>
        <w:rPr>
          <w:lang w:val="en-GB"/>
        </w:rPr>
        <w:t>Each day the bottle is moved to the appropriate tracking container (labelled Day 1 – 7) in the incubator.</w:t>
      </w:r>
    </w:p>
    <w:p w:rsidR="0081460A" w:rsidRDefault="0081460A" w:rsidP="000760CE">
      <w:pPr>
        <w:rPr>
          <w:lang w:val="en-GB"/>
        </w:rPr>
      </w:pPr>
      <w:r>
        <w:rPr>
          <w:lang w:val="en-GB"/>
        </w:rPr>
        <w:t>Blind sub-culture at 24 hours and seven days are performed to detect early and late growth, respectively.</w:t>
      </w:r>
    </w:p>
    <w:p w:rsidR="0081460A" w:rsidRDefault="0081460A" w:rsidP="00CE182A">
      <w:pPr>
        <w:pStyle w:val="Heading3"/>
        <w:rPr>
          <w:lang w:val="en-GB"/>
        </w:rPr>
      </w:pPr>
      <w:r>
        <w:rPr>
          <w:lang w:val="en-GB"/>
        </w:rPr>
        <w:t>Blind sub-culture</w:t>
      </w:r>
    </w:p>
    <w:p w:rsidR="0081460A" w:rsidRPr="00803203" w:rsidRDefault="0081460A" w:rsidP="000760CE">
      <w:pPr>
        <w:rPr>
          <w:lang w:val="en-GB"/>
        </w:rPr>
      </w:pPr>
      <w:r w:rsidRPr="00803203">
        <w:rPr>
          <w:lang w:val="en-GB"/>
        </w:rPr>
        <w:t>Gently mix the broth using a swirling motion.</w:t>
      </w:r>
    </w:p>
    <w:p w:rsidR="0081460A" w:rsidRPr="00803203" w:rsidRDefault="006E5878" w:rsidP="000760CE">
      <w:pPr>
        <w:rPr>
          <w:lang w:val="en-GB"/>
        </w:rPr>
      </w:pPr>
      <w:r>
        <w:rPr>
          <w:lang w:val="en-GB"/>
        </w:rPr>
        <w:t xml:space="preserve">Remove the cap of the sub-vent, </w:t>
      </w:r>
      <w:r w:rsidR="0081460A" w:rsidRPr="00803203">
        <w:rPr>
          <w:lang w:val="en-GB"/>
        </w:rPr>
        <w:t>being care</w:t>
      </w:r>
      <w:r>
        <w:rPr>
          <w:lang w:val="en-GB"/>
        </w:rPr>
        <w:t>ful not to contaminate the vent</w:t>
      </w:r>
      <w:r w:rsidR="0081460A">
        <w:rPr>
          <w:lang w:val="en-GB"/>
        </w:rPr>
        <w:t>.</w:t>
      </w:r>
    </w:p>
    <w:p w:rsidR="0081460A" w:rsidRDefault="0081460A" w:rsidP="000760CE">
      <w:pPr>
        <w:rPr>
          <w:lang w:val="en-GB"/>
        </w:rPr>
      </w:pPr>
      <w:r w:rsidRPr="00803203">
        <w:rPr>
          <w:lang w:val="en-GB"/>
        </w:rPr>
        <w:t xml:space="preserve">Invert the bottle and allow a single drop of broth to inoculate the sub-culture media (do not allow the vent to touch the media </w:t>
      </w:r>
      <w:r w:rsidR="006E5878">
        <w:rPr>
          <w:lang w:val="en-GB"/>
        </w:rPr>
        <w:t>or vigorously shake the bottle):</w:t>
      </w:r>
    </w:p>
    <w:p w:rsidR="0081460A" w:rsidRPr="006E5878" w:rsidRDefault="0081460A" w:rsidP="006E5878">
      <w:pPr>
        <w:pStyle w:val="ListParagraph"/>
        <w:numPr>
          <w:ilvl w:val="0"/>
          <w:numId w:val="26"/>
        </w:numPr>
        <w:rPr>
          <w:lang w:val="en-GB"/>
        </w:rPr>
      </w:pPr>
      <w:r w:rsidRPr="006E5878">
        <w:rPr>
          <w:lang w:val="en-GB"/>
        </w:rPr>
        <w:t>At 24 hours, inoculate a blood (BA), chocolate (C</w:t>
      </w:r>
      <w:r w:rsidR="000760CE" w:rsidRPr="006E5878">
        <w:rPr>
          <w:lang w:val="en-GB"/>
        </w:rPr>
        <w:t>A</w:t>
      </w:r>
      <w:r w:rsidRPr="006E5878">
        <w:rPr>
          <w:lang w:val="en-GB"/>
        </w:rPr>
        <w:t>), and MacConkey (MAC) plate.</w:t>
      </w:r>
    </w:p>
    <w:p w:rsidR="0081460A" w:rsidRPr="006E5878" w:rsidRDefault="0081460A" w:rsidP="006E5878">
      <w:pPr>
        <w:pStyle w:val="ListParagraph"/>
        <w:numPr>
          <w:ilvl w:val="0"/>
          <w:numId w:val="26"/>
        </w:numPr>
        <w:rPr>
          <w:lang w:val="en-GB"/>
        </w:rPr>
      </w:pPr>
      <w:r w:rsidRPr="006E5878">
        <w:rPr>
          <w:lang w:val="en-GB"/>
        </w:rPr>
        <w:t>At seven days, inoculate a CA plate only.</w:t>
      </w:r>
    </w:p>
    <w:p w:rsidR="0081460A" w:rsidRPr="006E5878" w:rsidRDefault="0081460A" w:rsidP="006E5878">
      <w:pPr>
        <w:pStyle w:val="ListParagraph"/>
        <w:numPr>
          <w:ilvl w:val="0"/>
          <w:numId w:val="26"/>
        </w:numPr>
        <w:rPr>
          <w:lang w:val="en-GB"/>
        </w:rPr>
      </w:pPr>
      <w:r w:rsidRPr="006E5878">
        <w:rPr>
          <w:lang w:val="en-GB"/>
        </w:rPr>
        <w:t>Twenty four hour sub-culture plate may be divided into quarters and the seven day sub-culture plates may be divided into eighths.</w:t>
      </w:r>
    </w:p>
    <w:p w:rsidR="0081460A" w:rsidRDefault="0081460A" w:rsidP="000760CE">
      <w:pPr>
        <w:rPr>
          <w:lang w:val="en-GB"/>
        </w:rPr>
      </w:pPr>
      <w:r w:rsidRPr="00803203">
        <w:rPr>
          <w:lang w:val="en-GB"/>
        </w:rPr>
        <w:t>Streak the inocul</w:t>
      </w:r>
      <w:r>
        <w:rPr>
          <w:lang w:val="en-GB"/>
        </w:rPr>
        <w:t>a</w:t>
      </w:r>
      <w:r w:rsidRPr="00803203">
        <w:rPr>
          <w:lang w:val="en-GB"/>
        </w:rPr>
        <w:t xml:space="preserve"> out using a sterile microbiological loop</w:t>
      </w:r>
      <w:r>
        <w:rPr>
          <w:lang w:val="en-GB"/>
        </w:rPr>
        <w:t xml:space="preserve"> to obtain single colonies</w:t>
      </w:r>
      <w:r w:rsidRPr="00803203">
        <w:rPr>
          <w:lang w:val="en-GB"/>
        </w:rPr>
        <w:t>.</w:t>
      </w:r>
    </w:p>
    <w:p w:rsidR="0081460A" w:rsidRPr="00803203" w:rsidRDefault="0081460A" w:rsidP="000760CE">
      <w:pPr>
        <w:rPr>
          <w:lang w:val="en-GB"/>
        </w:rPr>
      </w:pPr>
      <w:r>
        <w:rPr>
          <w:lang w:val="en-GB"/>
        </w:rPr>
        <w:t>Incubate the plates for up to 48 hours at 35-37</w:t>
      </w:r>
      <w:r>
        <w:rPr>
          <w:lang w:val="en-GB"/>
        </w:rPr>
        <w:sym w:font="Symbol" w:char="F0B0"/>
      </w:r>
      <w:r>
        <w:rPr>
          <w:lang w:val="en-GB"/>
        </w:rPr>
        <w:t>C in air (BA / MAC) or 5-10% CO</w:t>
      </w:r>
      <w:r>
        <w:rPr>
          <w:vertAlign w:val="subscript"/>
          <w:lang w:val="en-GB"/>
        </w:rPr>
        <w:t>2</w:t>
      </w:r>
      <w:r>
        <w:rPr>
          <w:lang w:val="en-GB"/>
        </w:rPr>
        <w:t xml:space="preserve"> (CA), inspecting for growth daily.</w:t>
      </w:r>
    </w:p>
    <w:p w:rsidR="0081460A" w:rsidRPr="00444623" w:rsidRDefault="0081460A" w:rsidP="00CE182A">
      <w:pPr>
        <w:pStyle w:val="Heading3"/>
        <w:rPr>
          <w:lang w:val="en-GB"/>
        </w:rPr>
      </w:pPr>
      <w:r w:rsidRPr="00CE182A">
        <w:t>Processing</w:t>
      </w:r>
      <w:r>
        <w:rPr>
          <w:lang w:val="en-GB"/>
        </w:rPr>
        <w:t xml:space="preserve"> of positive bottles</w:t>
      </w:r>
    </w:p>
    <w:p w:rsidR="0081460A" w:rsidRDefault="0081460A" w:rsidP="000760CE">
      <w:pPr>
        <w:rPr>
          <w:lang w:val="en-GB"/>
        </w:rPr>
      </w:pPr>
      <w:r>
        <w:rPr>
          <w:lang w:val="en-GB"/>
        </w:rPr>
        <w:t>Perform a Gram stain.</w:t>
      </w:r>
    </w:p>
    <w:p w:rsidR="0081460A" w:rsidRDefault="0081460A" w:rsidP="000760CE">
      <w:pPr>
        <w:rPr>
          <w:lang w:val="en-GB"/>
        </w:rPr>
      </w:pPr>
      <w:r>
        <w:rPr>
          <w:lang w:val="en-GB"/>
        </w:rPr>
        <w:t>Inoculate and incubate media as outlined in Table 1.</w:t>
      </w:r>
    </w:p>
    <w:p w:rsidR="006E5878" w:rsidRDefault="006E5878" w:rsidP="000760CE">
      <w:pPr>
        <w:rPr>
          <w:b/>
          <w:lang w:val="en-GB"/>
        </w:rPr>
      </w:pPr>
    </w:p>
    <w:p w:rsidR="006E5878" w:rsidRDefault="006E5878" w:rsidP="000760CE">
      <w:pPr>
        <w:rPr>
          <w:b/>
          <w:lang w:val="en-GB"/>
        </w:rPr>
      </w:pPr>
    </w:p>
    <w:p w:rsidR="0081460A" w:rsidRDefault="0081460A" w:rsidP="000760CE">
      <w:pPr>
        <w:rPr>
          <w:lang w:val="en-GB"/>
        </w:rPr>
      </w:pPr>
      <w:proofErr w:type="gramStart"/>
      <w:r w:rsidRPr="00CB0CD4">
        <w:rPr>
          <w:b/>
          <w:lang w:val="en-GB"/>
        </w:rPr>
        <w:t>Table 1.</w:t>
      </w:r>
      <w:proofErr w:type="gramEnd"/>
      <w:r w:rsidRPr="00CB0CD4">
        <w:rPr>
          <w:b/>
          <w:lang w:val="en-GB"/>
        </w:rPr>
        <w:t xml:space="preserve"> </w:t>
      </w:r>
      <w:r w:rsidRPr="00DC2CC9">
        <w:rPr>
          <w:lang w:val="en-GB"/>
        </w:rPr>
        <w:t>Sub-culture media for positive blood culture broths</w:t>
      </w:r>
    </w:p>
    <w:tbl>
      <w:tblPr>
        <w:tblStyle w:val="TableGrid"/>
        <w:tblW w:w="8867" w:type="dxa"/>
        <w:tblInd w:w="709" w:type="dxa"/>
        <w:tblLayout w:type="fixed"/>
        <w:tblLook w:val="04A0" w:firstRow="1" w:lastRow="0" w:firstColumn="1" w:lastColumn="0" w:noHBand="0" w:noVBand="1"/>
      </w:tblPr>
      <w:tblGrid>
        <w:gridCol w:w="1384"/>
        <w:gridCol w:w="1276"/>
        <w:gridCol w:w="1134"/>
        <w:gridCol w:w="1134"/>
        <w:gridCol w:w="1134"/>
        <w:gridCol w:w="1134"/>
        <w:gridCol w:w="1671"/>
      </w:tblGrid>
      <w:tr w:rsidR="0081460A" w:rsidTr="006E5878">
        <w:tc>
          <w:tcPr>
            <w:tcW w:w="1384" w:type="dxa"/>
            <w:vMerge w:val="restart"/>
            <w:shd w:val="clear" w:color="auto" w:fill="BFBFBF" w:themeFill="background1" w:themeFillShade="BF"/>
          </w:tcPr>
          <w:p w:rsidR="0081460A" w:rsidRPr="000A52B7" w:rsidRDefault="0081460A" w:rsidP="006E5878">
            <w:pPr>
              <w:spacing w:after="0"/>
              <w:jc w:val="left"/>
              <w:rPr>
                <w:rFonts w:ascii="Arial" w:hAnsi="Arial"/>
                <w:b/>
                <w:sz w:val="20"/>
                <w:lang w:val="en-GB"/>
              </w:rPr>
            </w:pPr>
            <w:r w:rsidRPr="000A52B7">
              <w:rPr>
                <w:rFonts w:ascii="Arial" w:hAnsi="Arial"/>
                <w:b/>
                <w:sz w:val="20"/>
                <w:lang w:val="en-GB"/>
              </w:rPr>
              <w:t>Gram stain result</w:t>
            </w:r>
          </w:p>
        </w:tc>
        <w:tc>
          <w:tcPr>
            <w:tcW w:w="1276" w:type="dxa"/>
            <w:vMerge w:val="restart"/>
            <w:shd w:val="clear" w:color="auto" w:fill="BFBFBF" w:themeFill="background1" w:themeFillShade="BF"/>
          </w:tcPr>
          <w:p w:rsidR="0081460A" w:rsidRPr="000A52B7" w:rsidRDefault="0081460A" w:rsidP="006E5878">
            <w:pPr>
              <w:spacing w:after="0"/>
              <w:jc w:val="left"/>
              <w:rPr>
                <w:rFonts w:ascii="Arial" w:hAnsi="Arial"/>
                <w:b/>
                <w:sz w:val="20"/>
                <w:lang w:val="en-GB"/>
              </w:rPr>
            </w:pPr>
            <w:r w:rsidRPr="000A52B7">
              <w:rPr>
                <w:rFonts w:ascii="Arial" w:hAnsi="Arial"/>
                <w:b/>
                <w:sz w:val="20"/>
                <w:lang w:val="en-GB"/>
              </w:rPr>
              <w:t>Media</w:t>
            </w:r>
          </w:p>
        </w:tc>
        <w:tc>
          <w:tcPr>
            <w:tcW w:w="3402" w:type="dxa"/>
            <w:gridSpan w:val="3"/>
            <w:shd w:val="clear" w:color="auto" w:fill="BFBFBF" w:themeFill="background1" w:themeFillShade="BF"/>
          </w:tcPr>
          <w:p w:rsidR="0081460A" w:rsidRPr="000A52B7" w:rsidRDefault="0081460A" w:rsidP="006E5878">
            <w:pPr>
              <w:spacing w:after="0"/>
              <w:jc w:val="left"/>
              <w:rPr>
                <w:rFonts w:ascii="Arial" w:hAnsi="Arial"/>
                <w:b/>
                <w:sz w:val="20"/>
                <w:lang w:val="en-GB"/>
              </w:rPr>
            </w:pPr>
            <w:r w:rsidRPr="000A52B7">
              <w:rPr>
                <w:rFonts w:ascii="Arial" w:hAnsi="Arial"/>
                <w:b/>
                <w:sz w:val="20"/>
                <w:lang w:val="en-GB"/>
              </w:rPr>
              <w:t>Incubation</w:t>
            </w:r>
          </w:p>
        </w:tc>
        <w:tc>
          <w:tcPr>
            <w:tcW w:w="1134" w:type="dxa"/>
            <w:vMerge w:val="restart"/>
            <w:shd w:val="clear" w:color="auto" w:fill="BFBFBF" w:themeFill="background1" w:themeFillShade="BF"/>
          </w:tcPr>
          <w:p w:rsidR="0081460A" w:rsidRPr="000A52B7" w:rsidRDefault="0081460A" w:rsidP="006E5878">
            <w:pPr>
              <w:spacing w:after="0"/>
              <w:jc w:val="left"/>
              <w:rPr>
                <w:rFonts w:ascii="Arial" w:hAnsi="Arial"/>
                <w:b/>
                <w:sz w:val="20"/>
                <w:lang w:val="en-GB"/>
              </w:rPr>
            </w:pPr>
            <w:r w:rsidRPr="000A52B7">
              <w:rPr>
                <w:rFonts w:ascii="Arial" w:hAnsi="Arial"/>
                <w:b/>
                <w:sz w:val="20"/>
                <w:lang w:val="en-GB"/>
              </w:rPr>
              <w:t>Cultures read</w:t>
            </w:r>
          </w:p>
        </w:tc>
        <w:tc>
          <w:tcPr>
            <w:tcW w:w="1671" w:type="dxa"/>
            <w:vMerge w:val="restart"/>
            <w:shd w:val="clear" w:color="auto" w:fill="BFBFBF" w:themeFill="background1" w:themeFillShade="BF"/>
          </w:tcPr>
          <w:p w:rsidR="0081460A" w:rsidRPr="000A52B7" w:rsidRDefault="0081460A" w:rsidP="006E5878">
            <w:pPr>
              <w:spacing w:after="0"/>
              <w:jc w:val="left"/>
              <w:rPr>
                <w:rFonts w:ascii="Arial" w:hAnsi="Arial"/>
                <w:b/>
                <w:sz w:val="20"/>
                <w:lang w:val="en-GB"/>
              </w:rPr>
            </w:pPr>
            <w:r w:rsidRPr="000A52B7">
              <w:rPr>
                <w:rFonts w:ascii="Arial" w:hAnsi="Arial"/>
                <w:b/>
                <w:sz w:val="20"/>
                <w:lang w:val="en-GB"/>
              </w:rPr>
              <w:t>Target organism(s)</w:t>
            </w:r>
          </w:p>
        </w:tc>
      </w:tr>
      <w:tr w:rsidR="0081460A" w:rsidTr="006E5878">
        <w:tc>
          <w:tcPr>
            <w:tcW w:w="1384" w:type="dxa"/>
            <w:vMerge/>
          </w:tcPr>
          <w:p w:rsidR="0081460A" w:rsidRPr="00614A2E" w:rsidRDefault="0081460A" w:rsidP="000760CE">
            <w:pPr>
              <w:spacing w:after="0"/>
              <w:rPr>
                <w:rFonts w:ascii="Arial" w:hAnsi="Arial"/>
                <w:sz w:val="20"/>
                <w:lang w:val="en-GB"/>
              </w:rPr>
            </w:pPr>
          </w:p>
        </w:tc>
        <w:tc>
          <w:tcPr>
            <w:tcW w:w="1276" w:type="dxa"/>
            <w:vMerge/>
          </w:tcPr>
          <w:p w:rsidR="0081460A" w:rsidRPr="00614A2E" w:rsidRDefault="0081460A" w:rsidP="000760CE">
            <w:pPr>
              <w:spacing w:after="0"/>
              <w:rPr>
                <w:rFonts w:ascii="Arial" w:hAnsi="Arial"/>
                <w:sz w:val="20"/>
                <w:lang w:val="en-GB"/>
              </w:rPr>
            </w:pPr>
          </w:p>
        </w:tc>
        <w:tc>
          <w:tcPr>
            <w:tcW w:w="1134" w:type="dxa"/>
            <w:shd w:val="clear" w:color="auto" w:fill="BFBFBF" w:themeFill="background1" w:themeFillShade="BF"/>
          </w:tcPr>
          <w:p w:rsidR="0081460A" w:rsidRPr="000A52B7" w:rsidRDefault="0081460A" w:rsidP="000760CE">
            <w:pPr>
              <w:spacing w:after="0"/>
              <w:rPr>
                <w:rFonts w:ascii="Arial" w:hAnsi="Arial"/>
                <w:b/>
                <w:sz w:val="20"/>
                <w:lang w:val="en-GB"/>
              </w:rPr>
            </w:pPr>
            <w:r w:rsidRPr="000A52B7">
              <w:rPr>
                <w:rFonts w:ascii="Arial" w:hAnsi="Arial"/>
                <w:b/>
                <w:sz w:val="20"/>
                <w:lang w:val="en-GB"/>
              </w:rPr>
              <w:t xml:space="preserve">Temp </w:t>
            </w:r>
            <w:r w:rsidRPr="000A52B7">
              <w:rPr>
                <w:b/>
                <w:sz w:val="20"/>
                <w:lang w:val="en-GB"/>
              </w:rPr>
              <w:t>(</w:t>
            </w:r>
            <w:r w:rsidRPr="000A52B7">
              <w:rPr>
                <w:b/>
                <w:sz w:val="20"/>
                <w:lang w:val="en-GB"/>
              </w:rPr>
              <w:sym w:font="Symbol" w:char="F0B0"/>
            </w:r>
            <w:r w:rsidRPr="000A52B7">
              <w:rPr>
                <w:b/>
                <w:sz w:val="20"/>
                <w:lang w:val="en-GB"/>
              </w:rPr>
              <w:t>C)</w:t>
            </w:r>
          </w:p>
        </w:tc>
        <w:tc>
          <w:tcPr>
            <w:tcW w:w="1134" w:type="dxa"/>
            <w:shd w:val="clear" w:color="auto" w:fill="BFBFBF" w:themeFill="background1" w:themeFillShade="BF"/>
          </w:tcPr>
          <w:p w:rsidR="0081460A" w:rsidRPr="000A52B7" w:rsidRDefault="0081460A" w:rsidP="000760CE">
            <w:pPr>
              <w:spacing w:after="0"/>
              <w:rPr>
                <w:rFonts w:ascii="Arial" w:hAnsi="Arial"/>
                <w:b/>
                <w:sz w:val="20"/>
                <w:lang w:val="en-GB"/>
              </w:rPr>
            </w:pPr>
            <w:proofErr w:type="spellStart"/>
            <w:r w:rsidRPr="000A52B7">
              <w:rPr>
                <w:rFonts w:ascii="Arial" w:hAnsi="Arial"/>
                <w:b/>
                <w:sz w:val="20"/>
                <w:lang w:val="en-GB"/>
              </w:rPr>
              <w:t>Atmos</w:t>
            </w:r>
            <w:proofErr w:type="spellEnd"/>
          </w:p>
        </w:tc>
        <w:tc>
          <w:tcPr>
            <w:tcW w:w="1134" w:type="dxa"/>
            <w:shd w:val="clear" w:color="auto" w:fill="BFBFBF" w:themeFill="background1" w:themeFillShade="BF"/>
          </w:tcPr>
          <w:p w:rsidR="0081460A" w:rsidRPr="000A52B7" w:rsidRDefault="0081460A" w:rsidP="000760CE">
            <w:pPr>
              <w:spacing w:after="0"/>
              <w:rPr>
                <w:rFonts w:ascii="Arial" w:hAnsi="Arial"/>
                <w:b/>
                <w:sz w:val="20"/>
                <w:lang w:val="en-GB"/>
              </w:rPr>
            </w:pPr>
            <w:r w:rsidRPr="000A52B7">
              <w:rPr>
                <w:rFonts w:ascii="Arial" w:hAnsi="Arial"/>
                <w:b/>
                <w:sz w:val="20"/>
                <w:lang w:val="en-GB"/>
              </w:rPr>
              <w:t>Time</w:t>
            </w:r>
          </w:p>
        </w:tc>
        <w:tc>
          <w:tcPr>
            <w:tcW w:w="1134" w:type="dxa"/>
            <w:vMerge/>
          </w:tcPr>
          <w:p w:rsidR="0081460A" w:rsidRPr="00614A2E" w:rsidRDefault="0081460A" w:rsidP="000760CE">
            <w:pPr>
              <w:spacing w:after="0"/>
              <w:rPr>
                <w:rFonts w:ascii="Arial" w:hAnsi="Arial"/>
                <w:sz w:val="20"/>
                <w:lang w:val="en-GB"/>
              </w:rPr>
            </w:pPr>
          </w:p>
        </w:tc>
        <w:tc>
          <w:tcPr>
            <w:tcW w:w="1671" w:type="dxa"/>
            <w:vMerge/>
          </w:tcPr>
          <w:p w:rsidR="0081460A" w:rsidRPr="00614A2E" w:rsidRDefault="0081460A" w:rsidP="000760CE">
            <w:pPr>
              <w:spacing w:after="0"/>
              <w:rPr>
                <w:rFonts w:ascii="Arial" w:hAnsi="Arial"/>
                <w:sz w:val="20"/>
                <w:lang w:val="en-GB"/>
              </w:rPr>
            </w:pPr>
          </w:p>
        </w:tc>
      </w:tr>
      <w:tr w:rsidR="0081460A" w:rsidTr="006E5878">
        <w:tc>
          <w:tcPr>
            <w:tcW w:w="1384" w:type="dxa"/>
          </w:tcPr>
          <w:p w:rsidR="0081460A" w:rsidRPr="000A52B7" w:rsidRDefault="0081460A" w:rsidP="006E5878">
            <w:pPr>
              <w:spacing w:after="0"/>
              <w:jc w:val="left"/>
              <w:rPr>
                <w:sz w:val="20"/>
                <w:lang w:val="en-GB"/>
              </w:rPr>
            </w:pPr>
            <w:r w:rsidRPr="000A52B7">
              <w:rPr>
                <w:sz w:val="20"/>
                <w:lang w:val="en-GB"/>
              </w:rPr>
              <w:t>All</w:t>
            </w:r>
          </w:p>
        </w:tc>
        <w:tc>
          <w:tcPr>
            <w:tcW w:w="1276" w:type="dxa"/>
          </w:tcPr>
          <w:p w:rsidR="0081460A" w:rsidRPr="00422905" w:rsidRDefault="0081460A" w:rsidP="006E5878">
            <w:pPr>
              <w:spacing w:after="0"/>
              <w:jc w:val="left"/>
              <w:rPr>
                <w:sz w:val="20"/>
                <w:vertAlign w:val="superscript"/>
                <w:lang w:val="en-GB"/>
              </w:rPr>
            </w:pPr>
            <w:r w:rsidRPr="000A52B7">
              <w:rPr>
                <w:sz w:val="20"/>
                <w:lang w:val="en-GB"/>
              </w:rPr>
              <w:t>BA</w:t>
            </w:r>
            <w:r>
              <w:rPr>
                <w:sz w:val="20"/>
                <w:vertAlign w:val="superscript"/>
                <w:lang w:val="en-GB"/>
              </w:rPr>
              <w:t>1</w:t>
            </w:r>
          </w:p>
        </w:tc>
        <w:tc>
          <w:tcPr>
            <w:tcW w:w="1134" w:type="dxa"/>
          </w:tcPr>
          <w:p w:rsidR="0081460A" w:rsidRPr="000A52B7" w:rsidRDefault="0081460A" w:rsidP="006E5878">
            <w:pPr>
              <w:spacing w:after="0"/>
              <w:jc w:val="left"/>
              <w:rPr>
                <w:sz w:val="20"/>
                <w:lang w:val="en-GB"/>
              </w:rPr>
            </w:pPr>
            <w:r w:rsidRPr="000A52B7">
              <w:rPr>
                <w:sz w:val="20"/>
                <w:lang w:val="en-GB"/>
              </w:rPr>
              <w:t>35-37</w:t>
            </w:r>
          </w:p>
        </w:tc>
        <w:tc>
          <w:tcPr>
            <w:tcW w:w="1134" w:type="dxa"/>
          </w:tcPr>
          <w:p w:rsidR="0081460A" w:rsidRPr="000A52B7" w:rsidRDefault="0081460A" w:rsidP="006E5878">
            <w:pPr>
              <w:spacing w:after="0"/>
              <w:jc w:val="left"/>
              <w:rPr>
                <w:sz w:val="20"/>
                <w:lang w:val="en-GB"/>
              </w:rPr>
            </w:pPr>
            <w:r w:rsidRPr="000A52B7">
              <w:rPr>
                <w:sz w:val="20"/>
                <w:lang w:val="en-GB"/>
              </w:rPr>
              <w:t>5-10% CO</w:t>
            </w:r>
            <w:r w:rsidRPr="000A52B7">
              <w:rPr>
                <w:sz w:val="20"/>
                <w:vertAlign w:val="subscript"/>
                <w:lang w:val="en-GB"/>
              </w:rPr>
              <w:t>2</w:t>
            </w:r>
          </w:p>
        </w:tc>
        <w:tc>
          <w:tcPr>
            <w:tcW w:w="1134" w:type="dxa"/>
          </w:tcPr>
          <w:p w:rsidR="0081460A" w:rsidRPr="000A52B7" w:rsidRDefault="0081460A" w:rsidP="006E5878">
            <w:pPr>
              <w:spacing w:after="0"/>
              <w:jc w:val="left"/>
              <w:rPr>
                <w:sz w:val="20"/>
                <w:lang w:val="en-GB"/>
              </w:rPr>
            </w:pPr>
            <w:r w:rsidRPr="000A52B7">
              <w:rPr>
                <w:sz w:val="20"/>
                <w:lang w:val="en-GB"/>
              </w:rPr>
              <w:t>40-48h</w:t>
            </w:r>
          </w:p>
        </w:tc>
        <w:tc>
          <w:tcPr>
            <w:tcW w:w="1134" w:type="dxa"/>
          </w:tcPr>
          <w:p w:rsidR="0081460A" w:rsidRPr="000A52B7" w:rsidRDefault="0081460A" w:rsidP="006E5878">
            <w:pPr>
              <w:spacing w:after="0"/>
              <w:jc w:val="left"/>
              <w:rPr>
                <w:sz w:val="20"/>
                <w:lang w:val="en-GB"/>
              </w:rPr>
            </w:pPr>
            <w:r w:rsidRPr="000A52B7">
              <w:rPr>
                <w:sz w:val="20"/>
                <w:lang w:val="en-GB"/>
              </w:rPr>
              <w:t>Daily</w:t>
            </w:r>
          </w:p>
        </w:tc>
        <w:tc>
          <w:tcPr>
            <w:tcW w:w="1671" w:type="dxa"/>
          </w:tcPr>
          <w:p w:rsidR="0081460A" w:rsidRDefault="0081460A" w:rsidP="006E5878">
            <w:pPr>
              <w:spacing w:after="0"/>
              <w:jc w:val="left"/>
              <w:rPr>
                <w:sz w:val="20"/>
                <w:lang w:val="en-GB"/>
              </w:rPr>
            </w:pPr>
            <w:r w:rsidRPr="000A52B7">
              <w:rPr>
                <w:sz w:val="20"/>
                <w:lang w:val="en-GB"/>
              </w:rPr>
              <w:t>Any</w:t>
            </w:r>
          </w:p>
          <w:p w:rsidR="0081460A" w:rsidRDefault="0081460A" w:rsidP="006E5878">
            <w:pPr>
              <w:spacing w:after="0"/>
              <w:jc w:val="left"/>
              <w:rPr>
                <w:sz w:val="20"/>
                <w:lang w:val="en-GB"/>
              </w:rPr>
            </w:pPr>
          </w:p>
          <w:p w:rsidR="0081460A" w:rsidRPr="000A52B7" w:rsidRDefault="0081460A" w:rsidP="006E5878">
            <w:pPr>
              <w:spacing w:after="0"/>
              <w:jc w:val="left"/>
              <w:rPr>
                <w:sz w:val="20"/>
                <w:lang w:val="en-GB"/>
              </w:rPr>
            </w:pPr>
          </w:p>
        </w:tc>
      </w:tr>
      <w:tr w:rsidR="0081460A" w:rsidTr="00520960">
        <w:tc>
          <w:tcPr>
            <w:tcW w:w="8867" w:type="dxa"/>
            <w:gridSpan w:val="7"/>
            <w:shd w:val="clear" w:color="auto" w:fill="BFBFBF" w:themeFill="background1" w:themeFillShade="BF"/>
          </w:tcPr>
          <w:p w:rsidR="0081460A" w:rsidRDefault="0081460A" w:rsidP="006E5878">
            <w:pPr>
              <w:spacing w:after="0"/>
              <w:jc w:val="left"/>
              <w:rPr>
                <w:rFonts w:ascii="Arial" w:hAnsi="Arial"/>
                <w:b/>
                <w:sz w:val="20"/>
                <w:lang w:val="en-GB"/>
              </w:rPr>
            </w:pPr>
            <w:r>
              <w:rPr>
                <w:rFonts w:ascii="Arial" w:hAnsi="Arial"/>
                <w:b/>
                <w:sz w:val="20"/>
                <w:lang w:val="en-GB"/>
              </w:rPr>
              <w:t xml:space="preserve">Additional plates </w:t>
            </w:r>
            <w:r w:rsidRPr="000A52B7">
              <w:rPr>
                <w:rFonts w:ascii="Arial" w:hAnsi="Arial"/>
                <w:b/>
                <w:sz w:val="20"/>
                <w:lang w:val="en-GB"/>
              </w:rPr>
              <w:t>depending on the Gram stain</w:t>
            </w:r>
          </w:p>
          <w:p w:rsidR="0081460A" w:rsidRPr="000A52B7" w:rsidRDefault="0081460A" w:rsidP="006E5878">
            <w:pPr>
              <w:spacing w:after="0"/>
              <w:jc w:val="left"/>
              <w:rPr>
                <w:rFonts w:ascii="Arial" w:hAnsi="Arial"/>
                <w:b/>
                <w:sz w:val="20"/>
                <w:lang w:val="en-GB"/>
              </w:rPr>
            </w:pPr>
          </w:p>
        </w:tc>
      </w:tr>
      <w:tr w:rsidR="0081460A" w:rsidTr="006E5878">
        <w:tc>
          <w:tcPr>
            <w:tcW w:w="1384" w:type="dxa"/>
          </w:tcPr>
          <w:p w:rsidR="0081460A" w:rsidRPr="000A52B7" w:rsidRDefault="0081460A" w:rsidP="006E5878">
            <w:pPr>
              <w:spacing w:after="0"/>
              <w:jc w:val="left"/>
              <w:rPr>
                <w:sz w:val="20"/>
                <w:lang w:val="en-GB"/>
              </w:rPr>
            </w:pPr>
            <w:r w:rsidRPr="000A52B7">
              <w:rPr>
                <w:sz w:val="20"/>
                <w:lang w:val="en-GB"/>
              </w:rPr>
              <w:t>GNC/GNCB</w:t>
            </w:r>
          </w:p>
        </w:tc>
        <w:tc>
          <w:tcPr>
            <w:tcW w:w="1276" w:type="dxa"/>
          </w:tcPr>
          <w:p w:rsidR="0081460A" w:rsidRPr="000A52B7" w:rsidRDefault="0081460A" w:rsidP="006E5878">
            <w:pPr>
              <w:spacing w:after="0"/>
              <w:jc w:val="left"/>
              <w:rPr>
                <w:sz w:val="20"/>
                <w:lang w:val="en-GB"/>
              </w:rPr>
            </w:pPr>
            <w:r w:rsidRPr="000A52B7">
              <w:rPr>
                <w:sz w:val="20"/>
                <w:lang w:val="en-GB"/>
              </w:rPr>
              <w:t>C</w:t>
            </w:r>
            <w:r>
              <w:rPr>
                <w:sz w:val="20"/>
                <w:lang w:val="en-GB"/>
              </w:rPr>
              <w:t>A</w:t>
            </w:r>
          </w:p>
        </w:tc>
        <w:tc>
          <w:tcPr>
            <w:tcW w:w="1134" w:type="dxa"/>
          </w:tcPr>
          <w:p w:rsidR="0081460A" w:rsidRPr="000A52B7" w:rsidRDefault="0081460A" w:rsidP="006E5878">
            <w:pPr>
              <w:spacing w:after="0"/>
              <w:jc w:val="left"/>
              <w:rPr>
                <w:sz w:val="20"/>
                <w:lang w:val="en-GB"/>
              </w:rPr>
            </w:pPr>
            <w:r w:rsidRPr="000A52B7">
              <w:rPr>
                <w:sz w:val="20"/>
                <w:lang w:val="en-GB"/>
              </w:rPr>
              <w:t>35-37</w:t>
            </w:r>
          </w:p>
        </w:tc>
        <w:tc>
          <w:tcPr>
            <w:tcW w:w="1134" w:type="dxa"/>
          </w:tcPr>
          <w:p w:rsidR="0081460A" w:rsidRPr="000A52B7" w:rsidRDefault="0081460A" w:rsidP="006E5878">
            <w:pPr>
              <w:spacing w:after="0"/>
              <w:jc w:val="left"/>
              <w:rPr>
                <w:sz w:val="20"/>
                <w:vertAlign w:val="subscript"/>
                <w:lang w:val="en-GB"/>
              </w:rPr>
            </w:pPr>
            <w:r w:rsidRPr="000A52B7">
              <w:rPr>
                <w:sz w:val="20"/>
                <w:lang w:val="en-GB"/>
              </w:rPr>
              <w:t>5-10% CO</w:t>
            </w:r>
            <w:r w:rsidRPr="000A52B7">
              <w:rPr>
                <w:sz w:val="20"/>
                <w:vertAlign w:val="subscript"/>
                <w:lang w:val="en-GB"/>
              </w:rPr>
              <w:t>2</w:t>
            </w:r>
          </w:p>
        </w:tc>
        <w:tc>
          <w:tcPr>
            <w:tcW w:w="1134" w:type="dxa"/>
          </w:tcPr>
          <w:p w:rsidR="0081460A" w:rsidRPr="000A52B7" w:rsidRDefault="0081460A" w:rsidP="006E5878">
            <w:pPr>
              <w:spacing w:after="0"/>
              <w:jc w:val="left"/>
              <w:rPr>
                <w:sz w:val="20"/>
                <w:lang w:val="en-GB"/>
              </w:rPr>
            </w:pPr>
            <w:r w:rsidRPr="000A52B7">
              <w:rPr>
                <w:sz w:val="20"/>
                <w:lang w:val="en-GB"/>
              </w:rPr>
              <w:t>40-48h</w:t>
            </w:r>
          </w:p>
        </w:tc>
        <w:tc>
          <w:tcPr>
            <w:tcW w:w="1134" w:type="dxa"/>
          </w:tcPr>
          <w:p w:rsidR="0081460A" w:rsidRPr="000A52B7" w:rsidRDefault="0081460A" w:rsidP="006E5878">
            <w:pPr>
              <w:spacing w:after="0"/>
              <w:jc w:val="left"/>
              <w:rPr>
                <w:sz w:val="20"/>
                <w:lang w:val="en-GB"/>
              </w:rPr>
            </w:pPr>
            <w:r w:rsidRPr="000A52B7">
              <w:rPr>
                <w:sz w:val="20"/>
                <w:lang w:val="en-GB"/>
              </w:rPr>
              <w:t>Daily</w:t>
            </w:r>
          </w:p>
        </w:tc>
        <w:tc>
          <w:tcPr>
            <w:tcW w:w="1671" w:type="dxa"/>
          </w:tcPr>
          <w:p w:rsidR="0081460A" w:rsidRPr="000A52B7" w:rsidRDefault="0081460A" w:rsidP="006E5878">
            <w:pPr>
              <w:spacing w:after="0"/>
              <w:jc w:val="left"/>
              <w:rPr>
                <w:sz w:val="20"/>
                <w:lang w:val="en-GB"/>
              </w:rPr>
            </w:pPr>
            <w:r w:rsidRPr="000A52B7">
              <w:rPr>
                <w:i/>
                <w:sz w:val="20"/>
                <w:lang w:val="en-GB"/>
              </w:rPr>
              <w:t xml:space="preserve">Haemophilus </w:t>
            </w:r>
            <w:r w:rsidRPr="000A52B7">
              <w:rPr>
                <w:sz w:val="20"/>
                <w:lang w:val="en-GB"/>
              </w:rPr>
              <w:t>spp.</w:t>
            </w:r>
          </w:p>
          <w:p w:rsidR="0081460A" w:rsidRDefault="0081460A" w:rsidP="006E5878">
            <w:pPr>
              <w:spacing w:after="0"/>
              <w:jc w:val="left"/>
              <w:rPr>
                <w:sz w:val="20"/>
                <w:lang w:val="en-GB"/>
              </w:rPr>
            </w:pPr>
            <w:r w:rsidRPr="000A52B7">
              <w:rPr>
                <w:i/>
                <w:sz w:val="20"/>
                <w:lang w:val="en-GB"/>
              </w:rPr>
              <w:t xml:space="preserve">Neisseria </w:t>
            </w:r>
            <w:r w:rsidRPr="000A52B7">
              <w:rPr>
                <w:sz w:val="20"/>
                <w:lang w:val="en-GB"/>
              </w:rPr>
              <w:t>spp.</w:t>
            </w:r>
          </w:p>
          <w:p w:rsidR="0081460A" w:rsidRPr="000A52B7" w:rsidRDefault="0081460A" w:rsidP="006E5878">
            <w:pPr>
              <w:spacing w:after="0"/>
              <w:jc w:val="left"/>
              <w:rPr>
                <w:sz w:val="20"/>
                <w:lang w:val="en-GB"/>
              </w:rPr>
            </w:pPr>
          </w:p>
        </w:tc>
      </w:tr>
      <w:tr w:rsidR="0081460A" w:rsidTr="006E5878">
        <w:tc>
          <w:tcPr>
            <w:tcW w:w="1384" w:type="dxa"/>
          </w:tcPr>
          <w:p w:rsidR="0081460A" w:rsidRPr="000A52B7" w:rsidRDefault="0081460A" w:rsidP="006E5878">
            <w:pPr>
              <w:spacing w:after="0"/>
              <w:jc w:val="left"/>
              <w:rPr>
                <w:sz w:val="20"/>
                <w:lang w:val="en-GB"/>
              </w:rPr>
            </w:pPr>
            <w:r w:rsidRPr="000A52B7">
              <w:rPr>
                <w:sz w:val="20"/>
                <w:lang w:val="en-GB"/>
              </w:rPr>
              <w:t>GNB</w:t>
            </w:r>
          </w:p>
        </w:tc>
        <w:tc>
          <w:tcPr>
            <w:tcW w:w="1276" w:type="dxa"/>
          </w:tcPr>
          <w:p w:rsidR="0081460A" w:rsidRPr="000A52B7" w:rsidRDefault="0081460A" w:rsidP="006E5878">
            <w:pPr>
              <w:spacing w:after="0"/>
              <w:jc w:val="left"/>
              <w:rPr>
                <w:sz w:val="20"/>
                <w:lang w:val="en-GB"/>
              </w:rPr>
            </w:pPr>
            <w:r w:rsidRPr="000A52B7">
              <w:rPr>
                <w:sz w:val="20"/>
                <w:lang w:val="en-GB"/>
              </w:rPr>
              <w:t>MAC</w:t>
            </w:r>
          </w:p>
        </w:tc>
        <w:tc>
          <w:tcPr>
            <w:tcW w:w="1134" w:type="dxa"/>
          </w:tcPr>
          <w:p w:rsidR="0081460A" w:rsidRPr="000A52B7" w:rsidRDefault="0081460A" w:rsidP="006E5878">
            <w:pPr>
              <w:spacing w:after="0"/>
              <w:jc w:val="left"/>
              <w:rPr>
                <w:sz w:val="20"/>
                <w:lang w:val="en-GB"/>
              </w:rPr>
            </w:pPr>
            <w:r w:rsidRPr="000A52B7">
              <w:rPr>
                <w:sz w:val="20"/>
                <w:lang w:val="en-GB"/>
              </w:rPr>
              <w:t>35-37</w:t>
            </w:r>
          </w:p>
        </w:tc>
        <w:tc>
          <w:tcPr>
            <w:tcW w:w="1134" w:type="dxa"/>
          </w:tcPr>
          <w:p w:rsidR="0081460A" w:rsidRPr="000A52B7" w:rsidRDefault="0081460A" w:rsidP="006E5878">
            <w:pPr>
              <w:spacing w:after="0"/>
              <w:jc w:val="left"/>
              <w:rPr>
                <w:sz w:val="20"/>
                <w:lang w:val="en-GB"/>
              </w:rPr>
            </w:pPr>
            <w:r w:rsidRPr="000A52B7">
              <w:rPr>
                <w:sz w:val="20"/>
                <w:lang w:val="en-GB"/>
              </w:rPr>
              <w:t>Air</w:t>
            </w:r>
          </w:p>
        </w:tc>
        <w:tc>
          <w:tcPr>
            <w:tcW w:w="1134" w:type="dxa"/>
          </w:tcPr>
          <w:p w:rsidR="0081460A" w:rsidRPr="000A52B7" w:rsidRDefault="0081460A" w:rsidP="006E5878">
            <w:pPr>
              <w:spacing w:after="0"/>
              <w:jc w:val="left"/>
              <w:rPr>
                <w:sz w:val="20"/>
                <w:lang w:val="en-GB"/>
              </w:rPr>
            </w:pPr>
            <w:r w:rsidRPr="000A52B7">
              <w:rPr>
                <w:sz w:val="20"/>
                <w:lang w:val="en-GB"/>
              </w:rPr>
              <w:t>16-24h</w:t>
            </w:r>
          </w:p>
        </w:tc>
        <w:tc>
          <w:tcPr>
            <w:tcW w:w="1134" w:type="dxa"/>
          </w:tcPr>
          <w:p w:rsidR="0081460A" w:rsidRPr="000A52B7" w:rsidRDefault="0081460A" w:rsidP="006E5878">
            <w:pPr>
              <w:spacing w:after="0"/>
              <w:jc w:val="left"/>
              <w:rPr>
                <w:sz w:val="20"/>
                <w:lang w:val="en-GB"/>
              </w:rPr>
            </w:pPr>
            <w:r w:rsidRPr="000A52B7">
              <w:rPr>
                <w:sz w:val="20"/>
                <w:lang w:val="en-GB"/>
              </w:rPr>
              <w:t>≥16h</w:t>
            </w:r>
          </w:p>
        </w:tc>
        <w:tc>
          <w:tcPr>
            <w:tcW w:w="1671" w:type="dxa"/>
          </w:tcPr>
          <w:p w:rsidR="0081460A" w:rsidRDefault="0081460A" w:rsidP="006E5878">
            <w:pPr>
              <w:spacing w:after="0"/>
              <w:jc w:val="left"/>
              <w:rPr>
                <w:sz w:val="20"/>
                <w:lang w:val="en-GB"/>
              </w:rPr>
            </w:pPr>
            <w:r>
              <w:rPr>
                <w:sz w:val="20"/>
                <w:lang w:val="en-GB"/>
              </w:rPr>
              <w:t>Enterobacteriaceae</w:t>
            </w:r>
          </w:p>
          <w:p w:rsidR="0081460A" w:rsidRDefault="0081460A" w:rsidP="006E5878">
            <w:pPr>
              <w:spacing w:after="0"/>
              <w:jc w:val="left"/>
              <w:rPr>
                <w:sz w:val="20"/>
                <w:lang w:val="en-GB"/>
              </w:rPr>
            </w:pPr>
            <w:r>
              <w:rPr>
                <w:sz w:val="20"/>
                <w:lang w:val="en-GB"/>
              </w:rPr>
              <w:t>Non-fermenters</w:t>
            </w:r>
          </w:p>
          <w:p w:rsidR="0081460A" w:rsidRPr="000A52B7" w:rsidRDefault="0081460A" w:rsidP="006E5878">
            <w:pPr>
              <w:spacing w:after="0"/>
              <w:jc w:val="left"/>
              <w:rPr>
                <w:sz w:val="20"/>
                <w:lang w:val="en-GB"/>
              </w:rPr>
            </w:pPr>
            <w:r>
              <w:rPr>
                <w:i/>
                <w:sz w:val="20"/>
                <w:lang w:val="en-GB"/>
              </w:rPr>
              <w:t xml:space="preserve">Pseudomonas </w:t>
            </w:r>
            <w:r>
              <w:rPr>
                <w:sz w:val="20"/>
                <w:lang w:val="en-GB"/>
              </w:rPr>
              <w:t>spp.</w:t>
            </w:r>
          </w:p>
        </w:tc>
      </w:tr>
      <w:tr w:rsidR="0081460A" w:rsidTr="006E5878">
        <w:tc>
          <w:tcPr>
            <w:tcW w:w="1384" w:type="dxa"/>
          </w:tcPr>
          <w:p w:rsidR="0081460A" w:rsidRPr="000A52B7" w:rsidRDefault="0081460A" w:rsidP="006E5878">
            <w:pPr>
              <w:spacing w:after="0"/>
              <w:jc w:val="left"/>
              <w:rPr>
                <w:sz w:val="20"/>
                <w:lang w:val="en-GB"/>
              </w:rPr>
            </w:pPr>
            <w:r w:rsidRPr="000A52B7">
              <w:rPr>
                <w:sz w:val="20"/>
                <w:lang w:val="en-GB"/>
              </w:rPr>
              <w:t>Yeasts</w:t>
            </w:r>
          </w:p>
        </w:tc>
        <w:tc>
          <w:tcPr>
            <w:tcW w:w="1276" w:type="dxa"/>
          </w:tcPr>
          <w:p w:rsidR="0081460A" w:rsidRPr="002A21EC" w:rsidRDefault="0081460A" w:rsidP="006E5878">
            <w:pPr>
              <w:spacing w:after="0"/>
              <w:jc w:val="left"/>
              <w:rPr>
                <w:sz w:val="20"/>
                <w:vertAlign w:val="superscript"/>
                <w:lang w:val="en-GB"/>
              </w:rPr>
            </w:pPr>
            <w:r w:rsidRPr="000A52B7">
              <w:rPr>
                <w:sz w:val="20"/>
                <w:lang w:val="en-GB"/>
              </w:rPr>
              <w:t>SAB</w:t>
            </w:r>
            <w:r>
              <w:rPr>
                <w:sz w:val="20"/>
                <w:vertAlign w:val="superscript"/>
                <w:lang w:val="en-GB"/>
              </w:rPr>
              <w:t>2</w:t>
            </w:r>
          </w:p>
        </w:tc>
        <w:tc>
          <w:tcPr>
            <w:tcW w:w="1134" w:type="dxa"/>
          </w:tcPr>
          <w:p w:rsidR="0081460A" w:rsidRPr="000A52B7" w:rsidRDefault="0081460A" w:rsidP="006E5878">
            <w:pPr>
              <w:spacing w:after="0"/>
              <w:jc w:val="left"/>
              <w:rPr>
                <w:sz w:val="20"/>
                <w:lang w:val="en-GB"/>
              </w:rPr>
            </w:pPr>
            <w:r w:rsidRPr="000A52B7">
              <w:rPr>
                <w:sz w:val="20"/>
                <w:lang w:val="en-GB"/>
              </w:rPr>
              <w:t>28-30</w:t>
            </w:r>
          </w:p>
        </w:tc>
        <w:tc>
          <w:tcPr>
            <w:tcW w:w="1134" w:type="dxa"/>
          </w:tcPr>
          <w:p w:rsidR="0081460A" w:rsidRPr="000A52B7" w:rsidRDefault="0081460A" w:rsidP="006E5878">
            <w:pPr>
              <w:spacing w:after="0"/>
              <w:jc w:val="left"/>
              <w:rPr>
                <w:sz w:val="20"/>
                <w:lang w:val="en-GB"/>
              </w:rPr>
            </w:pPr>
            <w:r w:rsidRPr="000A52B7">
              <w:rPr>
                <w:sz w:val="20"/>
                <w:lang w:val="en-GB"/>
              </w:rPr>
              <w:t>Air</w:t>
            </w:r>
          </w:p>
        </w:tc>
        <w:tc>
          <w:tcPr>
            <w:tcW w:w="1134" w:type="dxa"/>
          </w:tcPr>
          <w:p w:rsidR="0081460A" w:rsidRPr="000A52B7" w:rsidRDefault="0081460A" w:rsidP="006E5878">
            <w:pPr>
              <w:spacing w:after="0"/>
              <w:jc w:val="left"/>
              <w:rPr>
                <w:sz w:val="20"/>
                <w:lang w:val="en-GB"/>
              </w:rPr>
            </w:pPr>
            <w:r w:rsidRPr="000A52B7">
              <w:rPr>
                <w:sz w:val="20"/>
                <w:lang w:val="en-GB"/>
              </w:rPr>
              <w:t>5d</w:t>
            </w:r>
          </w:p>
        </w:tc>
        <w:tc>
          <w:tcPr>
            <w:tcW w:w="1134" w:type="dxa"/>
          </w:tcPr>
          <w:p w:rsidR="0081460A" w:rsidRPr="000A52B7" w:rsidRDefault="0081460A" w:rsidP="006E5878">
            <w:pPr>
              <w:spacing w:after="0"/>
              <w:jc w:val="left"/>
              <w:rPr>
                <w:sz w:val="20"/>
                <w:lang w:val="en-GB"/>
              </w:rPr>
            </w:pPr>
            <w:r w:rsidRPr="000A52B7">
              <w:rPr>
                <w:sz w:val="20"/>
                <w:lang w:val="en-GB"/>
              </w:rPr>
              <w:t>2d &amp; 5d</w:t>
            </w:r>
          </w:p>
        </w:tc>
        <w:tc>
          <w:tcPr>
            <w:tcW w:w="1671" w:type="dxa"/>
          </w:tcPr>
          <w:p w:rsidR="0081460A" w:rsidRDefault="0081460A" w:rsidP="006E5878">
            <w:pPr>
              <w:spacing w:after="0"/>
              <w:jc w:val="left"/>
              <w:rPr>
                <w:sz w:val="20"/>
                <w:lang w:val="en-GB"/>
              </w:rPr>
            </w:pPr>
            <w:r w:rsidRPr="000A52B7">
              <w:rPr>
                <w:sz w:val="20"/>
                <w:lang w:val="en-GB"/>
              </w:rPr>
              <w:t>Fungi</w:t>
            </w:r>
          </w:p>
          <w:p w:rsidR="0081460A" w:rsidRDefault="0081460A" w:rsidP="006E5878">
            <w:pPr>
              <w:spacing w:after="0"/>
              <w:jc w:val="left"/>
              <w:rPr>
                <w:sz w:val="20"/>
                <w:lang w:val="en-GB"/>
              </w:rPr>
            </w:pPr>
          </w:p>
          <w:p w:rsidR="0081460A" w:rsidRPr="000A52B7" w:rsidRDefault="0081460A" w:rsidP="006E5878">
            <w:pPr>
              <w:spacing w:after="0"/>
              <w:jc w:val="left"/>
              <w:rPr>
                <w:sz w:val="20"/>
                <w:lang w:val="en-GB"/>
              </w:rPr>
            </w:pPr>
          </w:p>
        </w:tc>
      </w:tr>
      <w:tr w:rsidR="0081460A" w:rsidTr="00520960">
        <w:tc>
          <w:tcPr>
            <w:tcW w:w="8867" w:type="dxa"/>
            <w:gridSpan w:val="7"/>
            <w:shd w:val="clear" w:color="auto" w:fill="BFBFBF" w:themeFill="background1" w:themeFillShade="BF"/>
          </w:tcPr>
          <w:p w:rsidR="0081460A" w:rsidRDefault="0081460A" w:rsidP="006E5878">
            <w:pPr>
              <w:spacing w:after="0"/>
              <w:jc w:val="left"/>
              <w:rPr>
                <w:rFonts w:ascii="Arial" w:hAnsi="Arial"/>
                <w:b/>
                <w:sz w:val="20"/>
                <w:lang w:val="en-GB"/>
              </w:rPr>
            </w:pPr>
            <w:r w:rsidRPr="000A52B7">
              <w:rPr>
                <w:rFonts w:ascii="Arial" w:hAnsi="Arial"/>
                <w:b/>
                <w:sz w:val="20"/>
                <w:lang w:val="en-GB"/>
              </w:rPr>
              <w:t>Other considerations</w:t>
            </w:r>
          </w:p>
          <w:p w:rsidR="0081460A" w:rsidRPr="000A52B7" w:rsidRDefault="0081460A" w:rsidP="006E5878">
            <w:pPr>
              <w:spacing w:after="0"/>
              <w:jc w:val="left"/>
              <w:rPr>
                <w:rFonts w:ascii="Arial" w:hAnsi="Arial"/>
                <w:b/>
                <w:sz w:val="20"/>
                <w:lang w:val="en-GB"/>
              </w:rPr>
            </w:pPr>
          </w:p>
        </w:tc>
      </w:tr>
      <w:tr w:rsidR="0081460A" w:rsidTr="006E5878">
        <w:tc>
          <w:tcPr>
            <w:tcW w:w="1384" w:type="dxa"/>
          </w:tcPr>
          <w:p w:rsidR="0081460A" w:rsidRPr="000A52B7" w:rsidRDefault="0081460A" w:rsidP="006E5878">
            <w:pPr>
              <w:spacing w:after="0"/>
              <w:jc w:val="left"/>
              <w:rPr>
                <w:sz w:val="20"/>
                <w:lang w:val="en-GB"/>
              </w:rPr>
            </w:pPr>
            <w:r>
              <w:rPr>
                <w:sz w:val="20"/>
                <w:lang w:val="en-GB"/>
              </w:rPr>
              <w:t>No organisms seen</w:t>
            </w:r>
          </w:p>
        </w:tc>
        <w:tc>
          <w:tcPr>
            <w:tcW w:w="1276" w:type="dxa"/>
          </w:tcPr>
          <w:p w:rsidR="0081460A" w:rsidRDefault="0081460A" w:rsidP="006E5878">
            <w:pPr>
              <w:spacing w:after="0"/>
              <w:jc w:val="left"/>
              <w:rPr>
                <w:sz w:val="20"/>
                <w:lang w:val="en-GB"/>
              </w:rPr>
            </w:pPr>
            <w:r>
              <w:rPr>
                <w:sz w:val="20"/>
                <w:lang w:val="en-GB"/>
              </w:rPr>
              <w:t>BA</w:t>
            </w:r>
          </w:p>
          <w:p w:rsidR="0081460A" w:rsidRDefault="0081460A" w:rsidP="006E5878">
            <w:pPr>
              <w:spacing w:after="0"/>
              <w:jc w:val="left"/>
              <w:rPr>
                <w:sz w:val="20"/>
                <w:lang w:val="en-GB"/>
              </w:rPr>
            </w:pPr>
            <w:r>
              <w:rPr>
                <w:sz w:val="20"/>
                <w:lang w:val="en-GB"/>
              </w:rPr>
              <w:t>CA</w:t>
            </w:r>
          </w:p>
        </w:tc>
        <w:tc>
          <w:tcPr>
            <w:tcW w:w="1134" w:type="dxa"/>
          </w:tcPr>
          <w:p w:rsidR="0081460A" w:rsidRPr="000A52B7" w:rsidRDefault="0081460A" w:rsidP="006E5878">
            <w:pPr>
              <w:spacing w:after="0"/>
              <w:jc w:val="left"/>
              <w:rPr>
                <w:sz w:val="20"/>
                <w:lang w:val="en-GB"/>
              </w:rPr>
            </w:pPr>
            <w:r w:rsidRPr="000A52B7">
              <w:rPr>
                <w:sz w:val="20"/>
                <w:lang w:val="en-GB"/>
              </w:rPr>
              <w:t>35-37</w:t>
            </w:r>
          </w:p>
        </w:tc>
        <w:tc>
          <w:tcPr>
            <w:tcW w:w="1134" w:type="dxa"/>
          </w:tcPr>
          <w:p w:rsidR="0081460A" w:rsidRPr="000A52B7" w:rsidRDefault="0081460A" w:rsidP="006E5878">
            <w:pPr>
              <w:spacing w:after="0"/>
              <w:jc w:val="left"/>
              <w:rPr>
                <w:sz w:val="20"/>
                <w:lang w:val="en-GB"/>
              </w:rPr>
            </w:pPr>
            <w:r w:rsidRPr="000A52B7">
              <w:rPr>
                <w:sz w:val="20"/>
                <w:lang w:val="en-GB"/>
              </w:rPr>
              <w:t>5-10% CO</w:t>
            </w:r>
            <w:r w:rsidRPr="000A52B7">
              <w:rPr>
                <w:sz w:val="20"/>
                <w:vertAlign w:val="subscript"/>
                <w:lang w:val="en-GB"/>
              </w:rPr>
              <w:t>2</w:t>
            </w:r>
          </w:p>
        </w:tc>
        <w:tc>
          <w:tcPr>
            <w:tcW w:w="1134" w:type="dxa"/>
          </w:tcPr>
          <w:p w:rsidR="0081460A" w:rsidRPr="000A52B7" w:rsidRDefault="0081460A" w:rsidP="006E5878">
            <w:pPr>
              <w:spacing w:after="0"/>
              <w:jc w:val="left"/>
              <w:rPr>
                <w:sz w:val="20"/>
                <w:lang w:val="en-GB"/>
              </w:rPr>
            </w:pPr>
            <w:r w:rsidRPr="000A52B7">
              <w:rPr>
                <w:sz w:val="20"/>
                <w:lang w:val="en-GB"/>
              </w:rPr>
              <w:t>40-48h</w:t>
            </w:r>
          </w:p>
        </w:tc>
        <w:tc>
          <w:tcPr>
            <w:tcW w:w="1134" w:type="dxa"/>
          </w:tcPr>
          <w:p w:rsidR="0081460A" w:rsidRPr="000A52B7" w:rsidRDefault="0081460A" w:rsidP="006E5878">
            <w:pPr>
              <w:spacing w:after="0"/>
              <w:jc w:val="left"/>
              <w:rPr>
                <w:sz w:val="20"/>
                <w:lang w:val="en-GB"/>
              </w:rPr>
            </w:pPr>
            <w:r w:rsidRPr="000A52B7">
              <w:rPr>
                <w:sz w:val="20"/>
                <w:lang w:val="en-GB"/>
              </w:rPr>
              <w:t>Daily</w:t>
            </w:r>
          </w:p>
        </w:tc>
        <w:tc>
          <w:tcPr>
            <w:tcW w:w="1671" w:type="dxa"/>
          </w:tcPr>
          <w:p w:rsidR="0081460A" w:rsidRDefault="0081460A" w:rsidP="006E5878">
            <w:pPr>
              <w:spacing w:after="0"/>
              <w:jc w:val="left"/>
              <w:rPr>
                <w:sz w:val="20"/>
                <w:lang w:val="en-GB"/>
              </w:rPr>
            </w:pPr>
            <w:r>
              <w:rPr>
                <w:sz w:val="20"/>
                <w:lang w:val="en-GB"/>
              </w:rPr>
              <w:t>Any</w:t>
            </w:r>
          </w:p>
          <w:p w:rsidR="0081460A" w:rsidRDefault="0081460A" w:rsidP="006E5878">
            <w:pPr>
              <w:spacing w:after="0"/>
              <w:jc w:val="left"/>
              <w:rPr>
                <w:sz w:val="20"/>
                <w:lang w:val="en-GB"/>
              </w:rPr>
            </w:pPr>
          </w:p>
          <w:p w:rsidR="0081460A" w:rsidRPr="000A52B7" w:rsidRDefault="0081460A" w:rsidP="006E5878">
            <w:pPr>
              <w:spacing w:after="0"/>
              <w:jc w:val="left"/>
              <w:rPr>
                <w:sz w:val="20"/>
                <w:lang w:val="en-GB"/>
              </w:rPr>
            </w:pPr>
          </w:p>
        </w:tc>
      </w:tr>
      <w:tr w:rsidR="006E5878" w:rsidTr="006E5878">
        <w:tc>
          <w:tcPr>
            <w:tcW w:w="1384" w:type="dxa"/>
          </w:tcPr>
          <w:p w:rsidR="006E5878" w:rsidRPr="000A52B7" w:rsidRDefault="006E5878" w:rsidP="006E5878">
            <w:pPr>
              <w:spacing w:after="0"/>
              <w:jc w:val="left"/>
              <w:rPr>
                <w:sz w:val="20"/>
                <w:lang w:val="en-GB"/>
              </w:rPr>
            </w:pPr>
            <w:r>
              <w:rPr>
                <w:sz w:val="20"/>
                <w:lang w:val="en-GB"/>
              </w:rPr>
              <w:t>Unclear whether GN or GP organism</w:t>
            </w:r>
          </w:p>
        </w:tc>
        <w:tc>
          <w:tcPr>
            <w:tcW w:w="1276" w:type="dxa"/>
          </w:tcPr>
          <w:p w:rsidR="006E5878" w:rsidRDefault="006E5878" w:rsidP="006E5878">
            <w:pPr>
              <w:spacing w:after="0"/>
              <w:jc w:val="left"/>
              <w:rPr>
                <w:sz w:val="20"/>
                <w:lang w:val="en-GB"/>
              </w:rPr>
            </w:pPr>
            <w:r>
              <w:rPr>
                <w:sz w:val="20"/>
                <w:lang w:val="en-GB"/>
              </w:rPr>
              <w:t>Blood-CNA</w:t>
            </w:r>
          </w:p>
          <w:p w:rsidR="006E5878" w:rsidRDefault="006E5878" w:rsidP="006E5878">
            <w:pPr>
              <w:spacing w:after="0"/>
              <w:jc w:val="left"/>
              <w:rPr>
                <w:sz w:val="20"/>
                <w:lang w:val="en-GB"/>
              </w:rPr>
            </w:pPr>
            <w:r>
              <w:rPr>
                <w:sz w:val="20"/>
                <w:lang w:val="en-GB"/>
              </w:rPr>
              <w:t>MAC</w:t>
            </w:r>
          </w:p>
        </w:tc>
        <w:tc>
          <w:tcPr>
            <w:tcW w:w="1134" w:type="dxa"/>
          </w:tcPr>
          <w:p w:rsidR="006E5878" w:rsidRPr="000A52B7" w:rsidRDefault="006E5878" w:rsidP="006E5878">
            <w:pPr>
              <w:spacing w:after="0"/>
              <w:jc w:val="left"/>
              <w:rPr>
                <w:sz w:val="20"/>
                <w:lang w:val="en-GB"/>
              </w:rPr>
            </w:pPr>
            <w:r w:rsidRPr="000A52B7">
              <w:rPr>
                <w:sz w:val="20"/>
                <w:lang w:val="en-GB"/>
              </w:rPr>
              <w:t>35-37</w:t>
            </w:r>
          </w:p>
        </w:tc>
        <w:tc>
          <w:tcPr>
            <w:tcW w:w="1134" w:type="dxa"/>
          </w:tcPr>
          <w:p w:rsidR="006E5878" w:rsidRPr="000A52B7" w:rsidRDefault="006E5878" w:rsidP="006E5878">
            <w:pPr>
              <w:spacing w:after="0"/>
              <w:jc w:val="left"/>
              <w:rPr>
                <w:sz w:val="20"/>
                <w:lang w:val="en-GB"/>
              </w:rPr>
            </w:pPr>
            <w:r w:rsidRPr="000A52B7">
              <w:rPr>
                <w:sz w:val="20"/>
                <w:lang w:val="en-GB"/>
              </w:rPr>
              <w:t>Air</w:t>
            </w:r>
          </w:p>
        </w:tc>
        <w:tc>
          <w:tcPr>
            <w:tcW w:w="1134" w:type="dxa"/>
          </w:tcPr>
          <w:p w:rsidR="006E5878" w:rsidRPr="000A52B7" w:rsidRDefault="006E5878" w:rsidP="006E5878">
            <w:pPr>
              <w:spacing w:after="0"/>
              <w:jc w:val="left"/>
              <w:rPr>
                <w:sz w:val="20"/>
                <w:lang w:val="en-GB"/>
              </w:rPr>
            </w:pPr>
            <w:r w:rsidRPr="000A52B7">
              <w:rPr>
                <w:sz w:val="20"/>
                <w:lang w:val="en-GB"/>
              </w:rPr>
              <w:t>16-24h</w:t>
            </w:r>
          </w:p>
        </w:tc>
        <w:tc>
          <w:tcPr>
            <w:tcW w:w="1134" w:type="dxa"/>
          </w:tcPr>
          <w:p w:rsidR="006E5878" w:rsidRPr="000A52B7" w:rsidRDefault="006E5878" w:rsidP="006E5878">
            <w:pPr>
              <w:spacing w:after="0"/>
              <w:jc w:val="left"/>
              <w:rPr>
                <w:sz w:val="20"/>
                <w:lang w:val="en-GB"/>
              </w:rPr>
            </w:pPr>
            <w:r w:rsidRPr="000A52B7">
              <w:rPr>
                <w:sz w:val="20"/>
                <w:lang w:val="en-GB"/>
              </w:rPr>
              <w:t>≥16h</w:t>
            </w:r>
          </w:p>
        </w:tc>
        <w:tc>
          <w:tcPr>
            <w:tcW w:w="1671" w:type="dxa"/>
          </w:tcPr>
          <w:p w:rsidR="006E5878" w:rsidRPr="000A52B7" w:rsidRDefault="006E5878" w:rsidP="006E5878">
            <w:pPr>
              <w:spacing w:after="0"/>
              <w:jc w:val="left"/>
              <w:rPr>
                <w:sz w:val="20"/>
                <w:lang w:val="en-GB"/>
              </w:rPr>
            </w:pPr>
            <w:r>
              <w:rPr>
                <w:sz w:val="20"/>
                <w:lang w:val="en-GB"/>
              </w:rPr>
              <w:t>To help differentiate orgs with equivocal Gram results</w:t>
            </w:r>
          </w:p>
        </w:tc>
      </w:tr>
      <w:tr w:rsidR="006E5878" w:rsidTr="006E5878">
        <w:tc>
          <w:tcPr>
            <w:tcW w:w="1384" w:type="dxa"/>
          </w:tcPr>
          <w:p w:rsidR="006E5878" w:rsidRPr="000A52B7" w:rsidRDefault="006E5878" w:rsidP="006E5878">
            <w:pPr>
              <w:spacing w:after="0"/>
              <w:jc w:val="left"/>
              <w:rPr>
                <w:sz w:val="20"/>
                <w:lang w:val="en-GB"/>
              </w:rPr>
            </w:pPr>
            <w:r w:rsidRPr="000A52B7">
              <w:rPr>
                <w:sz w:val="20"/>
                <w:lang w:val="en-GB"/>
              </w:rPr>
              <w:t xml:space="preserve">?Anaerobic </w:t>
            </w:r>
            <w:r>
              <w:rPr>
                <w:sz w:val="20"/>
                <w:lang w:val="en-GB"/>
              </w:rPr>
              <w:t>infection</w:t>
            </w:r>
          </w:p>
        </w:tc>
        <w:tc>
          <w:tcPr>
            <w:tcW w:w="1276" w:type="dxa"/>
          </w:tcPr>
          <w:p w:rsidR="006E5878" w:rsidRDefault="006E5878" w:rsidP="006E5878">
            <w:pPr>
              <w:spacing w:after="0"/>
              <w:jc w:val="left"/>
              <w:rPr>
                <w:sz w:val="20"/>
                <w:lang w:val="en-GB"/>
              </w:rPr>
            </w:pPr>
            <w:r>
              <w:rPr>
                <w:sz w:val="20"/>
                <w:lang w:val="en-GB"/>
              </w:rPr>
              <w:t>BA +</w:t>
            </w:r>
          </w:p>
          <w:p w:rsidR="006E5878" w:rsidRPr="000A52B7" w:rsidRDefault="006E5878" w:rsidP="006E5878">
            <w:pPr>
              <w:spacing w:after="0"/>
              <w:jc w:val="left"/>
              <w:rPr>
                <w:sz w:val="20"/>
                <w:lang w:val="en-GB"/>
              </w:rPr>
            </w:pPr>
            <w:r w:rsidRPr="000A52B7">
              <w:rPr>
                <w:sz w:val="20"/>
                <w:lang w:val="en-GB"/>
              </w:rPr>
              <w:t>MTZ</w:t>
            </w:r>
            <w:r>
              <w:rPr>
                <w:sz w:val="20"/>
                <w:vertAlign w:val="superscript"/>
                <w:lang w:val="en-GB"/>
              </w:rPr>
              <w:t>3</w:t>
            </w:r>
            <w:r w:rsidRPr="000A52B7">
              <w:rPr>
                <w:sz w:val="20"/>
                <w:lang w:val="en-GB"/>
              </w:rPr>
              <w:t xml:space="preserve"> disc</w:t>
            </w:r>
          </w:p>
        </w:tc>
        <w:tc>
          <w:tcPr>
            <w:tcW w:w="1134" w:type="dxa"/>
          </w:tcPr>
          <w:p w:rsidR="006E5878" w:rsidRPr="000A52B7" w:rsidRDefault="006E5878" w:rsidP="006E5878">
            <w:pPr>
              <w:spacing w:after="0"/>
              <w:jc w:val="left"/>
              <w:rPr>
                <w:sz w:val="20"/>
                <w:lang w:val="en-GB"/>
              </w:rPr>
            </w:pPr>
            <w:r w:rsidRPr="000A52B7">
              <w:rPr>
                <w:sz w:val="20"/>
                <w:lang w:val="en-GB"/>
              </w:rPr>
              <w:t>35-37</w:t>
            </w:r>
          </w:p>
        </w:tc>
        <w:tc>
          <w:tcPr>
            <w:tcW w:w="1134" w:type="dxa"/>
          </w:tcPr>
          <w:p w:rsidR="006E5878" w:rsidRPr="000A52B7" w:rsidRDefault="006E5878" w:rsidP="006E5878">
            <w:pPr>
              <w:spacing w:after="0"/>
              <w:jc w:val="left"/>
              <w:rPr>
                <w:sz w:val="20"/>
                <w:lang w:val="en-GB"/>
              </w:rPr>
            </w:pPr>
            <w:r w:rsidRPr="000A52B7">
              <w:rPr>
                <w:sz w:val="20"/>
                <w:lang w:val="en-GB"/>
              </w:rPr>
              <w:t>Anaerobic</w:t>
            </w:r>
          </w:p>
        </w:tc>
        <w:tc>
          <w:tcPr>
            <w:tcW w:w="1134" w:type="dxa"/>
          </w:tcPr>
          <w:p w:rsidR="006E5878" w:rsidRPr="000A52B7" w:rsidRDefault="006E5878" w:rsidP="006E5878">
            <w:pPr>
              <w:spacing w:after="0"/>
              <w:jc w:val="left"/>
              <w:rPr>
                <w:sz w:val="20"/>
                <w:lang w:val="en-GB"/>
              </w:rPr>
            </w:pPr>
            <w:r w:rsidRPr="000A52B7">
              <w:rPr>
                <w:sz w:val="20"/>
                <w:lang w:val="en-GB"/>
              </w:rPr>
              <w:t>40-48h</w:t>
            </w:r>
          </w:p>
        </w:tc>
        <w:tc>
          <w:tcPr>
            <w:tcW w:w="1134" w:type="dxa"/>
          </w:tcPr>
          <w:p w:rsidR="006E5878" w:rsidRPr="000A52B7" w:rsidRDefault="006E5878" w:rsidP="006E5878">
            <w:pPr>
              <w:spacing w:after="0"/>
              <w:jc w:val="left"/>
              <w:rPr>
                <w:sz w:val="20"/>
                <w:lang w:val="en-GB"/>
              </w:rPr>
            </w:pPr>
            <w:r w:rsidRPr="000A52B7">
              <w:rPr>
                <w:sz w:val="20"/>
                <w:lang w:val="en-GB"/>
              </w:rPr>
              <w:t>≥40h</w:t>
            </w:r>
          </w:p>
        </w:tc>
        <w:tc>
          <w:tcPr>
            <w:tcW w:w="1671" w:type="dxa"/>
          </w:tcPr>
          <w:p w:rsidR="006E5878" w:rsidRDefault="006E5878" w:rsidP="006E5878">
            <w:pPr>
              <w:spacing w:after="0"/>
              <w:jc w:val="left"/>
              <w:rPr>
                <w:sz w:val="20"/>
                <w:lang w:val="en-GB"/>
              </w:rPr>
            </w:pPr>
            <w:r w:rsidRPr="000A52B7">
              <w:rPr>
                <w:sz w:val="20"/>
                <w:lang w:val="en-GB"/>
              </w:rPr>
              <w:t>Anaerobes</w:t>
            </w:r>
          </w:p>
          <w:p w:rsidR="006E5878" w:rsidRDefault="006E5878" w:rsidP="006E5878">
            <w:pPr>
              <w:spacing w:after="0"/>
              <w:jc w:val="left"/>
              <w:rPr>
                <w:sz w:val="20"/>
                <w:lang w:val="en-GB"/>
              </w:rPr>
            </w:pPr>
          </w:p>
          <w:p w:rsidR="006E5878" w:rsidRPr="000A52B7" w:rsidRDefault="006E5878" w:rsidP="006E5878">
            <w:pPr>
              <w:spacing w:after="0"/>
              <w:jc w:val="left"/>
              <w:rPr>
                <w:sz w:val="20"/>
                <w:lang w:val="en-GB"/>
              </w:rPr>
            </w:pPr>
          </w:p>
        </w:tc>
      </w:tr>
      <w:tr w:rsidR="006E5878" w:rsidTr="006E5878">
        <w:tc>
          <w:tcPr>
            <w:tcW w:w="1384" w:type="dxa"/>
            <w:vMerge w:val="restart"/>
          </w:tcPr>
          <w:p w:rsidR="006E5878" w:rsidRPr="00656C40" w:rsidRDefault="006E5878" w:rsidP="006E5878">
            <w:pPr>
              <w:spacing w:after="0"/>
              <w:jc w:val="left"/>
              <w:rPr>
                <w:sz w:val="20"/>
                <w:lang w:val="en-GB"/>
              </w:rPr>
            </w:pPr>
            <w:r w:rsidRPr="00656C40">
              <w:rPr>
                <w:sz w:val="20"/>
                <w:lang w:val="en-GB"/>
              </w:rPr>
              <w:t>Primary culture negative but positive growth signal / Gram stain</w:t>
            </w:r>
          </w:p>
        </w:tc>
        <w:tc>
          <w:tcPr>
            <w:tcW w:w="1276" w:type="dxa"/>
          </w:tcPr>
          <w:p w:rsidR="006E5878" w:rsidRDefault="006E5878" w:rsidP="006E5878">
            <w:pPr>
              <w:spacing w:after="0"/>
              <w:jc w:val="left"/>
              <w:rPr>
                <w:sz w:val="20"/>
                <w:lang w:val="en-GB"/>
              </w:rPr>
            </w:pPr>
            <w:r>
              <w:rPr>
                <w:sz w:val="20"/>
                <w:lang w:val="en-GB"/>
              </w:rPr>
              <w:t>BA +</w:t>
            </w:r>
          </w:p>
          <w:p w:rsidR="006E5878" w:rsidRPr="00E8641E" w:rsidRDefault="006E5878" w:rsidP="006E5878">
            <w:pPr>
              <w:spacing w:after="0"/>
              <w:jc w:val="left"/>
              <w:rPr>
                <w:sz w:val="20"/>
                <w:lang w:val="en-GB"/>
              </w:rPr>
            </w:pPr>
            <w:r w:rsidRPr="000A52B7">
              <w:rPr>
                <w:i/>
                <w:sz w:val="20"/>
                <w:lang w:val="en-GB"/>
              </w:rPr>
              <w:t xml:space="preserve">S. aureus </w:t>
            </w:r>
            <w:r w:rsidRPr="000A52B7">
              <w:rPr>
                <w:sz w:val="20"/>
                <w:lang w:val="en-GB"/>
              </w:rPr>
              <w:t>streak</w:t>
            </w:r>
          </w:p>
        </w:tc>
        <w:tc>
          <w:tcPr>
            <w:tcW w:w="1134" w:type="dxa"/>
          </w:tcPr>
          <w:p w:rsidR="006E5878" w:rsidRPr="000A52B7" w:rsidRDefault="006E5878" w:rsidP="006E5878">
            <w:pPr>
              <w:spacing w:after="0"/>
              <w:jc w:val="left"/>
              <w:rPr>
                <w:sz w:val="20"/>
                <w:lang w:val="en-GB"/>
              </w:rPr>
            </w:pPr>
            <w:r w:rsidRPr="000A52B7">
              <w:rPr>
                <w:sz w:val="20"/>
                <w:lang w:val="en-GB"/>
              </w:rPr>
              <w:t>35-37</w:t>
            </w:r>
          </w:p>
        </w:tc>
        <w:tc>
          <w:tcPr>
            <w:tcW w:w="1134" w:type="dxa"/>
          </w:tcPr>
          <w:p w:rsidR="006E5878" w:rsidRPr="000A52B7" w:rsidRDefault="006E5878" w:rsidP="006E5878">
            <w:pPr>
              <w:spacing w:after="0"/>
              <w:jc w:val="left"/>
              <w:rPr>
                <w:sz w:val="20"/>
                <w:lang w:val="en-GB"/>
              </w:rPr>
            </w:pPr>
            <w:r w:rsidRPr="000A52B7">
              <w:rPr>
                <w:sz w:val="20"/>
                <w:lang w:val="en-GB"/>
              </w:rPr>
              <w:t>5-10% CO</w:t>
            </w:r>
            <w:r w:rsidRPr="000A52B7">
              <w:rPr>
                <w:sz w:val="20"/>
                <w:vertAlign w:val="subscript"/>
                <w:lang w:val="en-GB"/>
              </w:rPr>
              <w:t>2</w:t>
            </w:r>
          </w:p>
        </w:tc>
        <w:tc>
          <w:tcPr>
            <w:tcW w:w="1134" w:type="dxa"/>
          </w:tcPr>
          <w:p w:rsidR="006E5878" w:rsidRPr="000A52B7" w:rsidRDefault="006E5878" w:rsidP="006E5878">
            <w:pPr>
              <w:spacing w:after="0"/>
              <w:jc w:val="left"/>
              <w:rPr>
                <w:sz w:val="20"/>
                <w:lang w:val="en-GB"/>
              </w:rPr>
            </w:pPr>
            <w:r w:rsidRPr="000A52B7">
              <w:rPr>
                <w:sz w:val="20"/>
                <w:lang w:val="en-GB"/>
              </w:rPr>
              <w:t>40-48h</w:t>
            </w:r>
          </w:p>
        </w:tc>
        <w:tc>
          <w:tcPr>
            <w:tcW w:w="1134" w:type="dxa"/>
          </w:tcPr>
          <w:p w:rsidR="006E5878" w:rsidRPr="000A52B7" w:rsidRDefault="006E5878" w:rsidP="006E5878">
            <w:pPr>
              <w:spacing w:after="0"/>
              <w:jc w:val="left"/>
              <w:rPr>
                <w:sz w:val="20"/>
                <w:lang w:val="en-GB"/>
              </w:rPr>
            </w:pPr>
            <w:r w:rsidRPr="000A52B7">
              <w:rPr>
                <w:sz w:val="20"/>
                <w:lang w:val="en-GB"/>
              </w:rPr>
              <w:t>≥40h</w:t>
            </w:r>
          </w:p>
        </w:tc>
        <w:tc>
          <w:tcPr>
            <w:tcW w:w="1671" w:type="dxa"/>
          </w:tcPr>
          <w:p w:rsidR="006E5878" w:rsidRDefault="006E5878" w:rsidP="006E5878">
            <w:pPr>
              <w:spacing w:after="0"/>
              <w:jc w:val="left"/>
              <w:rPr>
                <w:sz w:val="20"/>
                <w:lang w:val="en-GB"/>
              </w:rPr>
            </w:pPr>
            <w:r w:rsidRPr="000A52B7">
              <w:rPr>
                <w:i/>
                <w:sz w:val="20"/>
                <w:lang w:val="en-GB"/>
              </w:rPr>
              <w:t xml:space="preserve">Abiotrophia </w:t>
            </w:r>
            <w:r w:rsidRPr="000A52B7">
              <w:rPr>
                <w:sz w:val="20"/>
                <w:lang w:val="en-GB"/>
              </w:rPr>
              <w:t>spp.</w:t>
            </w:r>
          </w:p>
          <w:p w:rsidR="006E5878" w:rsidRDefault="006E5878" w:rsidP="006E5878">
            <w:pPr>
              <w:spacing w:after="0"/>
              <w:jc w:val="left"/>
              <w:rPr>
                <w:sz w:val="20"/>
                <w:lang w:val="en-GB"/>
              </w:rPr>
            </w:pPr>
          </w:p>
          <w:p w:rsidR="006E5878" w:rsidRPr="000A52B7" w:rsidRDefault="006E5878" w:rsidP="006E5878">
            <w:pPr>
              <w:spacing w:after="0"/>
              <w:jc w:val="left"/>
              <w:rPr>
                <w:sz w:val="20"/>
                <w:lang w:val="en-GB"/>
              </w:rPr>
            </w:pPr>
          </w:p>
        </w:tc>
      </w:tr>
      <w:tr w:rsidR="006E5878" w:rsidTr="006E5878">
        <w:tc>
          <w:tcPr>
            <w:tcW w:w="1384" w:type="dxa"/>
            <w:vMerge/>
          </w:tcPr>
          <w:p w:rsidR="006E5878" w:rsidRPr="000A52B7" w:rsidRDefault="006E5878" w:rsidP="006E5878">
            <w:pPr>
              <w:spacing w:after="0"/>
              <w:jc w:val="left"/>
              <w:rPr>
                <w:sz w:val="20"/>
                <w:lang w:val="en-GB"/>
              </w:rPr>
            </w:pPr>
          </w:p>
        </w:tc>
        <w:tc>
          <w:tcPr>
            <w:tcW w:w="1276" w:type="dxa"/>
          </w:tcPr>
          <w:p w:rsidR="006E5878" w:rsidRPr="000A52B7" w:rsidRDefault="006E5878" w:rsidP="006E5878">
            <w:pPr>
              <w:spacing w:after="0"/>
              <w:jc w:val="left"/>
              <w:rPr>
                <w:sz w:val="20"/>
                <w:lang w:val="en-GB"/>
              </w:rPr>
            </w:pPr>
            <w:r w:rsidRPr="000A52B7">
              <w:rPr>
                <w:sz w:val="20"/>
                <w:lang w:val="en-GB"/>
              </w:rPr>
              <w:t>MAC</w:t>
            </w:r>
          </w:p>
        </w:tc>
        <w:tc>
          <w:tcPr>
            <w:tcW w:w="1134" w:type="dxa"/>
          </w:tcPr>
          <w:p w:rsidR="006E5878" w:rsidRPr="000A52B7" w:rsidRDefault="006E5878" w:rsidP="006E5878">
            <w:pPr>
              <w:spacing w:after="0"/>
              <w:jc w:val="left"/>
              <w:rPr>
                <w:sz w:val="20"/>
                <w:lang w:val="en-GB"/>
              </w:rPr>
            </w:pPr>
            <w:r w:rsidRPr="000A52B7">
              <w:rPr>
                <w:sz w:val="20"/>
                <w:lang w:val="en-GB"/>
              </w:rPr>
              <w:t>35-37</w:t>
            </w:r>
          </w:p>
        </w:tc>
        <w:tc>
          <w:tcPr>
            <w:tcW w:w="1134" w:type="dxa"/>
          </w:tcPr>
          <w:p w:rsidR="006E5878" w:rsidRPr="000A52B7" w:rsidRDefault="006E5878" w:rsidP="006E5878">
            <w:pPr>
              <w:spacing w:after="0"/>
              <w:jc w:val="left"/>
              <w:rPr>
                <w:sz w:val="20"/>
                <w:lang w:val="en-GB"/>
              </w:rPr>
            </w:pPr>
            <w:r w:rsidRPr="000A52B7">
              <w:rPr>
                <w:sz w:val="20"/>
                <w:lang w:val="en-GB"/>
              </w:rPr>
              <w:t>Air</w:t>
            </w:r>
          </w:p>
        </w:tc>
        <w:tc>
          <w:tcPr>
            <w:tcW w:w="1134" w:type="dxa"/>
          </w:tcPr>
          <w:p w:rsidR="006E5878" w:rsidRPr="000A52B7" w:rsidRDefault="006E5878" w:rsidP="006E5878">
            <w:pPr>
              <w:spacing w:after="0"/>
              <w:jc w:val="left"/>
              <w:rPr>
                <w:sz w:val="20"/>
                <w:lang w:val="en-GB"/>
              </w:rPr>
            </w:pPr>
            <w:r w:rsidRPr="000A52B7">
              <w:rPr>
                <w:sz w:val="20"/>
                <w:lang w:val="en-GB"/>
              </w:rPr>
              <w:t>16-24h</w:t>
            </w:r>
          </w:p>
        </w:tc>
        <w:tc>
          <w:tcPr>
            <w:tcW w:w="1134" w:type="dxa"/>
          </w:tcPr>
          <w:p w:rsidR="006E5878" w:rsidRPr="000A52B7" w:rsidRDefault="006E5878" w:rsidP="006E5878">
            <w:pPr>
              <w:spacing w:after="0"/>
              <w:jc w:val="left"/>
              <w:rPr>
                <w:sz w:val="20"/>
                <w:lang w:val="en-GB"/>
              </w:rPr>
            </w:pPr>
            <w:r w:rsidRPr="000A52B7">
              <w:rPr>
                <w:sz w:val="20"/>
                <w:lang w:val="en-GB"/>
              </w:rPr>
              <w:t>≥16h</w:t>
            </w:r>
          </w:p>
        </w:tc>
        <w:tc>
          <w:tcPr>
            <w:tcW w:w="1671" w:type="dxa"/>
          </w:tcPr>
          <w:p w:rsidR="006E5878" w:rsidRPr="000A52B7" w:rsidRDefault="006E5878" w:rsidP="006E5878">
            <w:pPr>
              <w:spacing w:after="0"/>
              <w:jc w:val="left"/>
              <w:rPr>
                <w:sz w:val="20"/>
                <w:lang w:val="en-GB"/>
              </w:rPr>
            </w:pPr>
            <w:r>
              <w:rPr>
                <w:sz w:val="20"/>
                <w:lang w:val="en-GB"/>
              </w:rPr>
              <w:t>Cysteine-dependent organisms</w:t>
            </w:r>
          </w:p>
        </w:tc>
      </w:tr>
    </w:tbl>
    <w:p w:rsidR="0081460A" w:rsidRPr="00A16B27" w:rsidRDefault="0081460A" w:rsidP="0081460A">
      <w:pPr>
        <w:spacing w:after="0"/>
        <w:ind w:left="709"/>
        <w:rPr>
          <w:sz w:val="20"/>
          <w:lang w:val="en-GB"/>
        </w:rPr>
      </w:pPr>
      <w:r w:rsidRPr="00422905">
        <w:rPr>
          <w:sz w:val="20"/>
          <w:vertAlign w:val="superscript"/>
          <w:lang w:val="en-GB"/>
        </w:rPr>
        <w:t>1</w:t>
      </w:r>
      <w:r>
        <w:rPr>
          <w:sz w:val="20"/>
          <w:lang w:val="en-GB"/>
        </w:rPr>
        <w:t xml:space="preserve"> </w:t>
      </w:r>
      <w:r w:rsidRPr="00A16B27">
        <w:rPr>
          <w:sz w:val="20"/>
          <w:lang w:val="en-GB"/>
        </w:rPr>
        <w:t>An optochin disc may be added if streptococci are seen on Gram stain</w:t>
      </w:r>
    </w:p>
    <w:p w:rsidR="0081460A" w:rsidRPr="00A16B27" w:rsidRDefault="0081460A" w:rsidP="0081460A">
      <w:pPr>
        <w:spacing w:after="0"/>
        <w:ind w:left="709"/>
        <w:rPr>
          <w:sz w:val="20"/>
          <w:lang w:val="en-GB"/>
        </w:rPr>
      </w:pPr>
      <w:r w:rsidRPr="00A16B27">
        <w:rPr>
          <w:sz w:val="20"/>
          <w:vertAlign w:val="superscript"/>
          <w:lang w:val="en-GB"/>
        </w:rPr>
        <w:t xml:space="preserve">2 </w:t>
      </w:r>
      <w:r w:rsidRPr="00A16B27">
        <w:rPr>
          <w:sz w:val="20"/>
          <w:lang w:val="en-GB"/>
        </w:rPr>
        <w:t xml:space="preserve">Sabouraud </w:t>
      </w:r>
      <w:proofErr w:type="gramStart"/>
      <w:r w:rsidRPr="00A16B27">
        <w:rPr>
          <w:sz w:val="20"/>
          <w:lang w:val="en-GB"/>
        </w:rPr>
        <w:t>agar</w:t>
      </w:r>
      <w:proofErr w:type="gramEnd"/>
    </w:p>
    <w:p w:rsidR="0081460A" w:rsidRPr="00A16B27" w:rsidRDefault="00A16B27" w:rsidP="00A16B27">
      <w:pPr>
        <w:ind w:firstLine="709"/>
        <w:rPr>
          <w:sz w:val="20"/>
          <w:lang w:val="en-GB"/>
        </w:rPr>
      </w:pPr>
      <w:r w:rsidRPr="00A16B27">
        <w:rPr>
          <w:sz w:val="20"/>
          <w:vertAlign w:val="superscript"/>
          <w:lang w:val="en-GB"/>
        </w:rPr>
        <w:t>3</w:t>
      </w:r>
      <w:r w:rsidRPr="00A16B27">
        <w:rPr>
          <w:sz w:val="20"/>
          <w:lang w:val="en-GB"/>
        </w:rPr>
        <w:t xml:space="preserve"> </w:t>
      </w:r>
      <w:r w:rsidR="0081460A" w:rsidRPr="00A16B27">
        <w:rPr>
          <w:sz w:val="20"/>
          <w:lang w:val="en-GB"/>
        </w:rPr>
        <w:t>5µg metronidazole disc</w:t>
      </w:r>
    </w:p>
    <w:p w:rsidR="00A16B27" w:rsidRDefault="00A16B27" w:rsidP="0081460A">
      <w:pPr>
        <w:spacing w:after="0"/>
        <w:ind w:left="709"/>
        <w:rPr>
          <w:sz w:val="20"/>
          <w:lang w:val="en-GB"/>
        </w:rPr>
      </w:pPr>
    </w:p>
    <w:p w:rsidR="00A16B27" w:rsidRDefault="00A16B27" w:rsidP="0081460A">
      <w:pPr>
        <w:spacing w:after="0"/>
        <w:ind w:left="709"/>
        <w:rPr>
          <w:sz w:val="20"/>
          <w:lang w:val="en-GB"/>
        </w:rPr>
      </w:pPr>
    </w:p>
    <w:p w:rsidR="00A16B27" w:rsidRPr="00422905" w:rsidRDefault="00A16B27" w:rsidP="0081460A">
      <w:pPr>
        <w:spacing w:after="0"/>
        <w:ind w:left="709"/>
        <w:rPr>
          <w:sz w:val="20"/>
          <w:lang w:val="en-GB"/>
        </w:rPr>
      </w:pPr>
    </w:p>
    <w:p w:rsidR="0081460A" w:rsidRDefault="0081460A" w:rsidP="00CE182A">
      <w:pPr>
        <w:pStyle w:val="Heading1"/>
        <w:rPr>
          <w:lang w:val="en-GB"/>
        </w:rPr>
      </w:pPr>
      <w:r w:rsidRPr="00444623">
        <w:rPr>
          <w:lang w:val="en-GB"/>
        </w:rPr>
        <w:t>I</w:t>
      </w:r>
      <w:r w:rsidR="00CE182A">
        <w:rPr>
          <w:lang w:val="en-GB"/>
        </w:rPr>
        <w:t>nterpretation</w:t>
      </w:r>
    </w:p>
    <w:p w:rsidR="00CE182A" w:rsidRPr="00CE182A" w:rsidRDefault="00CE182A" w:rsidP="00CE182A">
      <w:pPr>
        <w:pStyle w:val="Heading2"/>
        <w:rPr>
          <w:lang w:val="en-GB"/>
        </w:rPr>
      </w:pPr>
      <w:r>
        <w:rPr>
          <w:lang w:val="en-GB"/>
        </w:rPr>
        <w:t>Minimum level of identification in the laboratory</w:t>
      </w:r>
    </w:p>
    <w:p w:rsidR="0081460A" w:rsidRDefault="0081460A" w:rsidP="000760CE">
      <w:pPr>
        <w:rPr>
          <w:lang w:val="en-GB"/>
        </w:rPr>
      </w:pPr>
      <w:r>
        <w:rPr>
          <w:lang w:val="en-GB"/>
        </w:rPr>
        <w:t>All blood cultures are discussed on the daily board/bench round:</w:t>
      </w:r>
    </w:p>
    <w:p w:rsidR="0081460A" w:rsidRPr="000760CE" w:rsidRDefault="0081460A" w:rsidP="000760CE">
      <w:pPr>
        <w:pStyle w:val="ListParagraph"/>
        <w:numPr>
          <w:ilvl w:val="0"/>
          <w:numId w:val="24"/>
        </w:numPr>
        <w:rPr>
          <w:lang w:val="en-GB"/>
        </w:rPr>
      </w:pPr>
      <w:r w:rsidRPr="000760CE">
        <w:rPr>
          <w:lang w:val="en-GB"/>
        </w:rPr>
        <w:t>Clinically significant isolates should be identified to species level</w:t>
      </w:r>
      <w:r w:rsidR="000760CE">
        <w:rPr>
          <w:lang w:val="en-GB"/>
        </w:rPr>
        <w:t xml:space="preserve"> (see SOPs MID-003/4)</w:t>
      </w:r>
    </w:p>
    <w:p w:rsidR="0081460A" w:rsidRPr="000760CE" w:rsidRDefault="0081460A" w:rsidP="000760CE">
      <w:pPr>
        <w:pStyle w:val="ListParagraph"/>
        <w:numPr>
          <w:ilvl w:val="0"/>
          <w:numId w:val="24"/>
        </w:numPr>
        <w:rPr>
          <w:lang w:val="en-GB"/>
        </w:rPr>
      </w:pPr>
      <w:r w:rsidRPr="000760CE">
        <w:rPr>
          <w:lang w:val="en-GB"/>
        </w:rPr>
        <w:t>Any organism considered to be a contaminant may not require full species level identification</w:t>
      </w:r>
    </w:p>
    <w:p w:rsidR="0081460A" w:rsidRDefault="0081460A" w:rsidP="000760CE">
      <w:pPr>
        <w:rPr>
          <w:lang w:val="en-GB"/>
        </w:rPr>
      </w:pPr>
      <w:r>
        <w:rPr>
          <w:lang w:val="en-GB"/>
        </w:rPr>
        <w:t>Store significant isolates at -80</w:t>
      </w:r>
      <w:r>
        <w:rPr>
          <w:lang w:val="en-GB"/>
        </w:rPr>
        <w:sym w:font="Symbol" w:char="F0B0"/>
      </w:r>
      <w:r>
        <w:rPr>
          <w:lang w:val="en-GB"/>
        </w:rPr>
        <w:t xml:space="preserve">C in </w:t>
      </w:r>
      <w:r w:rsidR="000760CE">
        <w:rPr>
          <w:lang w:val="en-GB"/>
        </w:rPr>
        <w:t>a cryovial containing 1ml STGG</w:t>
      </w:r>
      <w:r>
        <w:rPr>
          <w:lang w:val="en-GB"/>
        </w:rPr>
        <w:t xml:space="preserve"> and record the isolate details in the freezer logbook/database.</w:t>
      </w:r>
    </w:p>
    <w:p w:rsidR="0081460A" w:rsidRDefault="0081460A" w:rsidP="00CE182A">
      <w:pPr>
        <w:pStyle w:val="Heading2"/>
        <w:rPr>
          <w:lang w:val="en-GB"/>
        </w:rPr>
      </w:pPr>
      <w:r w:rsidRPr="00CE182A">
        <w:t>Antimicrobial</w:t>
      </w:r>
      <w:r>
        <w:rPr>
          <w:lang w:val="en-GB"/>
        </w:rPr>
        <w:t xml:space="preserve"> susceptibility testing</w:t>
      </w:r>
    </w:p>
    <w:p w:rsidR="0081460A" w:rsidRPr="00E6439E" w:rsidRDefault="0081460A" w:rsidP="000760CE">
      <w:pPr>
        <w:rPr>
          <w:lang w:val="en-GB"/>
        </w:rPr>
      </w:pPr>
      <w:r w:rsidRPr="00E6439E">
        <w:rPr>
          <w:lang w:val="en-GB"/>
        </w:rPr>
        <w:t xml:space="preserve">All significant isolates should have antimicrobial susceptibilities performed according to </w:t>
      </w:r>
      <w:r w:rsidR="00A16B27">
        <w:rPr>
          <w:lang w:val="en-GB"/>
        </w:rPr>
        <w:t>SOP MIC-001</w:t>
      </w:r>
      <w:r w:rsidRPr="00E6439E">
        <w:rPr>
          <w:lang w:val="en-GB"/>
        </w:rPr>
        <w:t>.</w:t>
      </w:r>
    </w:p>
    <w:p w:rsidR="0081460A" w:rsidRPr="00E6439E" w:rsidRDefault="0081460A" w:rsidP="000760CE">
      <w:pPr>
        <w:rPr>
          <w:lang w:val="en-GB"/>
        </w:rPr>
      </w:pPr>
      <w:r w:rsidRPr="00E6439E">
        <w:rPr>
          <w:lang w:val="en-GB"/>
        </w:rPr>
        <w:t xml:space="preserve">Direct susceptibility testing may be performed in certain circumstances (i.e. to improve turnaround time), although these results </w:t>
      </w:r>
      <w:r>
        <w:rPr>
          <w:lang w:val="en-GB"/>
        </w:rPr>
        <w:t>will</w:t>
      </w:r>
      <w:r w:rsidRPr="00E6439E">
        <w:rPr>
          <w:lang w:val="en-GB"/>
        </w:rPr>
        <w:t xml:space="preserve"> need to be repeated if confluent growth is not obtained or the culture is mixed.</w:t>
      </w:r>
      <w:r>
        <w:rPr>
          <w:lang w:val="en-GB"/>
        </w:rPr>
        <w:t xml:space="preserve"> For GNB, add 1-2 drops of blood culture broth to 2ml of sterile saline and use this as the inoculum for preparation of antimicrobial susceptibility testing media. A greater inoculum (or a drop of blood culture broth applied directly to the agar plate) may be required for Gram positive organisms.</w:t>
      </w:r>
    </w:p>
    <w:p w:rsidR="0081460A" w:rsidRPr="00444623" w:rsidRDefault="0081460A" w:rsidP="00EE5979">
      <w:pPr>
        <w:pStyle w:val="Heading2"/>
      </w:pPr>
      <w:r w:rsidRPr="00CE182A">
        <w:t>Reporting</w:t>
      </w:r>
    </w:p>
    <w:p w:rsidR="0081460A" w:rsidRPr="00E6439E" w:rsidRDefault="0081460A" w:rsidP="000760CE">
      <w:pPr>
        <w:rPr>
          <w:lang w:val="en-GB"/>
        </w:rPr>
      </w:pPr>
      <w:r w:rsidRPr="00E6439E">
        <w:rPr>
          <w:lang w:val="en-GB"/>
        </w:rPr>
        <w:t>Gram stain: report organism detected (by telephone / urgent ward review + hard copy)</w:t>
      </w:r>
      <w:r>
        <w:rPr>
          <w:lang w:val="en-GB"/>
        </w:rPr>
        <w:t>.</w:t>
      </w:r>
    </w:p>
    <w:p w:rsidR="0081460A" w:rsidRPr="00E6439E" w:rsidRDefault="0081460A" w:rsidP="000760CE">
      <w:pPr>
        <w:rPr>
          <w:lang w:val="en-GB"/>
        </w:rPr>
      </w:pPr>
      <w:r w:rsidRPr="00E6439E">
        <w:rPr>
          <w:lang w:val="en-GB"/>
        </w:rPr>
        <w:t>Culture:</w:t>
      </w:r>
    </w:p>
    <w:p w:rsidR="0081460A" w:rsidRPr="000760CE" w:rsidRDefault="0081460A" w:rsidP="000760CE">
      <w:pPr>
        <w:pStyle w:val="ListParagraph"/>
        <w:numPr>
          <w:ilvl w:val="0"/>
          <w:numId w:val="23"/>
        </w:numPr>
        <w:rPr>
          <w:lang w:val="en-GB"/>
        </w:rPr>
      </w:pPr>
      <w:r w:rsidRPr="000760CE">
        <w:rPr>
          <w:lang w:val="en-GB"/>
        </w:rPr>
        <w:t>All organisms isolated (with comment if isolate(s) are of doubtful significance)</w:t>
      </w:r>
    </w:p>
    <w:p w:rsidR="00D712A8" w:rsidRDefault="00D712A8" w:rsidP="000760CE">
      <w:pPr>
        <w:pStyle w:val="ListParagraph"/>
        <w:numPr>
          <w:ilvl w:val="0"/>
          <w:numId w:val="23"/>
        </w:numPr>
        <w:rPr>
          <w:lang w:val="en-GB"/>
        </w:rPr>
      </w:pPr>
      <w:r>
        <w:rPr>
          <w:lang w:val="en-GB"/>
        </w:rPr>
        <w:t>Absence of growth</w:t>
      </w:r>
    </w:p>
    <w:p w:rsidR="001636AF" w:rsidRDefault="001636AF" w:rsidP="00D712A8">
      <w:pPr>
        <w:pStyle w:val="ListParagraph"/>
        <w:numPr>
          <w:ilvl w:val="1"/>
          <w:numId w:val="23"/>
        </w:numPr>
        <w:rPr>
          <w:lang w:val="en-GB"/>
        </w:rPr>
      </w:pPr>
      <w:r>
        <w:rPr>
          <w:lang w:val="en-GB"/>
        </w:rPr>
        <w:t>Interim reports</w:t>
      </w:r>
    </w:p>
    <w:p w:rsidR="001636AF" w:rsidRDefault="00A16B27" w:rsidP="001636AF">
      <w:pPr>
        <w:pStyle w:val="ListParagraph"/>
        <w:numPr>
          <w:ilvl w:val="2"/>
          <w:numId w:val="23"/>
        </w:numPr>
        <w:rPr>
          <w:lang w:val="en-GB"/>
        </w:rPr>
      </w:pPr>
      <w:r>
        <w:rPr>
          <w:lang w:val="en-GB"/>
        </w:rPr>
        <w:t xml:space="preserve">“No growth at 24 hours” </w:t>
      </w:r>
      <w:r w:rsidR="001636AF">
        <w:rPr>
          <w:lang w:val="en-GB"/>
        </w:rPr>
        <w:t>(based on no growth on 24 hour blind sub-culture)</w:t>
      </w:r>
    </w:p>
    <w:p w:rsidR="001636AF" w:rsidRDefault="001636AF" w:rsidP="001636AF">
      <w:pPr>
        <w:pStyle w:val="ListParagraph"/>
        <w:numPr>
          <w:ilvl w:val="2"/>
          <w:numId w:val="23"/>
        </w:numPr>
        <w:rPr>
          <w:lang w:val="en-GB"/>
        </w:rPr>
      </w:pPr>
      <w:r>
        <w:rPr>
          <w:lang w:val="en-GB"/>
        </w:rPr>
        <w:t>“No growth at 48 hours” (based on negative 24 hour blind sub-culture AND clear broth at 48 hour inspection)</w:t>
      </w:r>
    </w:p>
    <w:p w:rsidR="0081460A" w:rsidRPr="000760CE" w:rsidRDefault="001636AF" w:rsidP="00D712A8">
      <w:pPr>
        <w:pStyle w:val="ListParagraph"/>
        <w:numPr>
          <w:ilvl w:val="1"/>
          <w:numId w:val="23"/>
        </w:numPr>
        <w:rPr>
          <w:lang w:val="en-GB"/>
        </w:rPr>
      </w:pPr>
      <w:r>
        <w:rPr>
          <w:lang w:val="en-GB"/>
        </w:rPr>
        <w:t xml:space="preserve">Final report: </w:t>
      </w:r>
      <w:r w:rsidR="00D712A8">
        <w:rPr>
          <w:lang w:val="en-GB"/>
        </w:rPr>
        <w:t>“No growth at 7 days”</w:t>
      </w:r>
    </w:p>
    <w:p w:rsidR="0081460A" w:rsidRPr="000760CE" w:rsidRDefault="0081460A" w:rsidP="000760CE">
      <w:pPr>
        <w:pStyle w:val="ListParagraph"/>
        <w:numPr>
          <w:ilvl w:val="0"/>
          <w:numId w:val="23"/>
        </w:numPr>
        <w:rPr>
          <w:lang w:val="en-GB"/>
        </w:rPr>
      </w:pPr>
      <w:r w:rsidRPr="000760CE">
        <w:rPr>
          <w:lang w:val="en-GB"/>
        </w:rPr>
        <w:t>Do not use the terms “no significant growth” or “mixed growth of doubtful significance”</w:t>
      </w:r>
    </w:p>
    <w:p w:rsidR="0081460A" w:rsidRPr="00E6439E" w:rsidRDefault="0081460A" w:rsidP="000760CE">
      <w:pPr>
        <w:rPr>
          <w:lang w:val="en-GB"/>
        </w:rPr>
      </w:pPr>
      <w:r w:rsidRPr="00E6439E">
        <w:rPr>
          <w:lang w:val="en-GB"/>
        </w:rPr>
        <w:t>Antimicrobial susceptibility testing: report as clinically indicated.</w:t>
      </w:r>
    </w:p>
    <w:p w:rsidR="0081460A" w:rsidRPr="00444623" w:rsidRDefault="0081460A" w:rsidP="00CE182A">
      <w:pPr>
        <w:pStyle w:val="Heading1"/>
      </w:pPr>
      <w:r w:rsidRPr="00444623">
        <w:t>Quality assurance</w:t>
      </w:r>
    </w:p>
    <w:p w:rsidR="0081460A" w:rsidRPr="00444623" w:rsidRDefault="0081460A" w:rsidP="000760CE">
      <w:pPr>
        <w:rPr>
          <w:lang w:val="en-GB"/>
        </w:rPr>
      </w:pPr>
      <w:r w:rsidRPr="00444623">
        <w:rPr>
          <w:lang w:val="en-GB"/>
        </w:rPr>
        <w:t xml:space="preserve">Media and identification tests should be quality controlled according to the relevant MOPSOP. </w:t>
      </w:r>
    </w:p>
    <w:p w:rsidR="0081460A" w:rsidRPr="00444623" w:rsidRDefault="0081460A" w:rsidP="00CE182A">
      <w:pPr>
        <w:pStyle w:val="Heading1"/>
      </w:pPr>
      <w:r w:rsidRPr="00444623">
        <w:t>Limitations</w:t>
      </w:r>
    </w:p>
    <w:p w:rsidR="0081460A" w:rsidRPr="00444623" w:rsidRDefault="0081460A" w:rsidP="000760CE">
      <w:pPr>
        <w:rPr>
          <w:lang w:val="en-GB"/>
        </w:rPr>
      </w:pPr>
      <w:r w:rsidRPr="00444623">
        <w:rPr>
          <w:lang w:val="en-GB"/>
        </w:rPr>
        <w:t>Several factors may result in a false negative blood culture, including:</w:t>
      </w:r>
    </w:p>
    <w:p w:rsidR="0081460A" w:rsidRPr="000760CE" w:rsidRDefault="0081460A" w:rsidP="000760CE">
      <w:pPr>
        <w:pStyle w:val="ListParagraph"/>
        <w:numPr>
          <w:ilvl w:val="0"/>
          <w:numId w:val="22"/>
        </w:numPr>
        <w:rPr>
          <w:lang w:val="en-GB"/>
        </w:rPr>
      </w:pPr>
      <w:r w:rsidRPr="000760CE">
        <w:rPr>
          <w:lang w:val="en-GB"/>
        </w:rPr>
        <w:t>Exposure to antimicrobial agents prior to blood sampling</w:t>
      </w:r>
    </w:p>
    <w:p w:rsidR="0081460A" w:rsidRPr="000760CE" w:rsidRDefault="0081460A" w:rsidP="000760CE">
      <w:pPr>
        <w:pStyle w:val="ListParagraph"/>
        <w:numPr>
          <w:ilvl w:val="0"/>
          <w:numId w:val="22"/>
        </w:numPr>
        <w:rPr>
          <w:lang w:val="en-GB"/>
        </w:rPr>
      </w:pPr>
      <w:r w:rsidRPr="000760CE">
        <w:rPr>
          <w:lang w:val="en-GB"/>
        </w:rPr>
        <w:t>Inoculation of an inadequate volume of blood</w:t>
      </w:r>
    </w:p>
    <w:p w:rsidR="0081460A" w:rsidRPr="000760CE" w:rsidRDefault="0081460A" w:rsidP="000760CE">
      <w:pPr>
        <w:pStyle w:val="ListParagraph"/>
        <w:numPr>
          <w:ilvl w:val="0"/>
          <w:numId w:val="22"/>
        </w:numPr>
        <w:rPr>
          <w:lang w:val="en-GB"/>
        </w:rPr>
      </w:pPr>
      <w:r w:rsidRPr="000760CE">
        <w:rPr>
          <w:lang w:val="en-GB"/>
        </w:rPr>
        <w:t xml:space="preserve">Intermittent bacteraemia sampled at the incorrect time point: </w:t>
      </w:r>
    </w:p>
    <w:p w:rsidR="0081460A" w:rsidRPr="00444623" w:rsidRDefault="0081460A" w:rsidP="00CE182A">
      <w:pPr>
        <w:pStyle w:val="Heading1"/>
      </w:pPr>
      <w:r w:rsidRPr="00444623">
        <w:t>References</w:t>
      </w:r>
    </w:p>
    <w:p w:rsidR="000760CE" w:rsidRDefault="0081460A" w:rsidP="000760CE">
      <w:pPr>
        <w:pStyle w:val="ListParagraph"/>
        <w:numPr>
          <w:ilvl w:val="0"/>
          <w:numId w:val="21"/>
        </w:numPr>
        <w:rPr>
          <w:lang w:val="en-GB"/>
        </w:rPr>
      </w:pPr>
      <w:r w:rsidRPr="000760CE">
        <w:rPr>
          <w:lang w:val="en-GB"/>
        </w:rPr>
        <w:t xml:space="preserve">Health Protection Agency, UK SOP B37: Investigation of Blood for organisms other than </w:t>
      </w:r>
      <w:r w:rsidRPr="000760CE">
        <w:rPr>
          <w:i/>
          <w:lang w:val="en-GB"/>
        </w:rPr>
        <w:t xml:space="preserve">Mycobacterium </w:t>
      </w:r>
      <w:r w:rsidRPr="000760CE">
        <w:rPr>
          <w:lang w:val="en-GB"/>
        </w:rPr>
        <w:t>species (Issue 7; March 2013).</w:t>
      </w:r>
    </w:p>
    <w:p w:rsidR="000760CE" w:rsidRDefault="0081460A" w:rsidP="000760CE">
      <w:pPr>
        <w:pStyle w:val="ListParagraph"/>
        <w:numPr>
          <w:ilvl w:val="0"/>
          <w:numId w:val="21"/>
        </w:numPr>
        <w:rPr>
          <w:lang w:val="en-GB"/>
        </w:rPr>
      </w:pPr>
      <w:r w:rsidRPr="000760CE">
        <w:rPr>
          <w:lang w:val="en-GB"/>
        </w:rPr>
        <w:t>Cheesbrough, M. District Laboratory Practice in Tropical Countries, Part 2. 2</w:t>
      </w:r>
      <w:r w:rsidRPr="000760CE">
        <w:rPr>
          <w:vertAlign w:val="superscript"/>
          <w:lang w:val="en-GB"/>
        </w:rPr>
        <w:t>nd</w:t>
      </w:r>
      <w:r w:rsidRPr="000760CE">
        <w:rPr>
          <w:lang w:val="en-GB"/>
        </w:rPr>
        <w:t xml:space="preserve"> Edition Update (2006). Cambridge University Press.</w:t>
      </w:r>
    </w:p>
    <w:p w:rsidR="001318FC" w:rsidRPr="000760CE" w:rsidRDefault="0081460A" w:rsidP="000760CE">
      <w:pPr>
        <w:pStyle w:val="ListParagraph"/>
        <w:numPr>
          <w:ilvl w:val="0"/>
          <w:numId w:val="21"/>
        </w:numPr>
        <w:rPr>
          <w:lang w:val="en-GB"/>
        </w:rPr>
      </w:pPr>
      <w:r w:rsidRPr="000760CE">
        <w:rPr>
          <w:lang w:val="en-GB"/>
        </w:rPr>
        <w:t>Standard Operating Procedures from LOMWRU, SMRU and AHC.</w:t>
      </w:r>
      <w:r w:rsidR="001318FC" w:rsidRPr="000760CE">
        <w:rPr>
          <w:lang w:val="en-GB"/>
        </w:rPr>
        <w:br w:type="page"/>
      </w:r>
    </w:p>
    <w:p w:rsidR="002137CC" w:rsidRDefault="00BF4A7B" w:rsidP="00CE182A">
      <w:pPr>
        <w:pStyle w:val="Heading1"/>
        <w:rPr>
          <w:lang w:val="en-GB"/>
        </w:rPr>
      </w:pPr>
      <w:r w:rsidRPr="00093BA1">
        <w:rPr>
          <w:lang w:val="en-GB"/>
        </w:rPr>
        <w:t>Synopsis / Bench aid</w:t>
      </w:r>
    </w:p>
    <w:p w:rsidR="0081460A" w:rsidRPr="0081460A" w:rsidRDefault="00580336" w:rsidP="0081460A">
      <w:pPr>
        <w:rPr>
          <w:lang w:val="en-GB"/>
        </w:rPr>
        <w:sectPr w:rsidR="0081460A" w:rsidRPr="0081460A" w:rsidSect="006C64AF">
          <w:headerReference w:type="default" r:id="rId10"/>
          <w:pgSz w:w="12240" w:h="15840"/>
          <w:pgMar w:top="1440" w:right="1800" w:bottom="1440" w:left="1800" w:header="708" w:footer="708" w:gutter="0"/>
          <w:cols w:space="708"/>
          <w:docGrid w:linePitch="326"/>
        </w:sectPr>
      </w:pPr>
      <w:r>
        <w:rPr>
          <w:noProof/>
          <w:lang w:val="en-GB" w:eastAsia="en-GB"/>
        </w:rPr>
        <w:drawing>
          <wp:inline distT="0" distB="0" distL="0" distR="0">
            <wp:extent cx="5486400" cy="50819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5081939"/>
                    </a:xfrm>
                    <a:prstGeom prst="rect">
                      <a:avLst/>
                    </a:prstGeom>
                    <a:noFill/>
                    <a:ln>
                      <a:noFill/>
                    </a:ln>
                  </pic:spPr>
                </pic:pic>
              </a:graphicData>
            </a:graphic>
          </wp:inline>
        </w:drawing>
      </w:r>
    </w:p>
    <w:p w:rsidR="00B424F6" w:rsidRPr="00093BA1" w:rsidRDefault="00BF4A7B" w:rsidP="00CE182A">
      <w:pPr>
        <w:pStyle w:val="Heading1"/>
        <w:rPr>
          <w:lang w:val="en-GB"/>
        </w:rPr>
      </w:pPr>
      <w:r w:rsidRPr="00093BA1">
        <w:rPr>
          <w:lang w:val="en-GB"/>
        </w:rPr>
        <w:t xml:space="preserve">Risk </w:t>
      </w:r>
      <w:r w:rsidRPr="00CE182A">
        <w:t>assessment</w:t>
      </w:r>
    </w:p>
    <w:tbl>
      <w:tblPr>
        <w:tblW w:w="8790" w:type="dxa"/>
        <w:jc w:val="center"/>
        <w:tblInd w:w="2548" w:type="dxa"/>
        <w:tblLayout w:type="fixed"/>
        <w:tblCellMar>
          <w:left w:w="120" w:type="dxa"/>
          <w:right w:w="120" w:type="dxa"/>
        </w:tblCellMar>
        <w:tblLook w:val="0000" w:firstRow="0" w:lastRow="0" w:firstColumn="0" w:lastColumn="0" w:noHBand="0" w:noVBand="0"/>
      </w:tblPr>
      <w:tblGrid>
        <w:gridCol w:w="4111"/>
        <w:gridCol w:w="4679"/>
      </w:tblGrid>
      <w:tr w:rsidR="009E0BD9" w:rsidRPr="00093BA1" w:rsidTr="007A5E14">
        <w:trPr>
          <w:trHeight w:val="632"/>
          <w:jc w:val="center"/>
        </w:trPr>
        <w:tc>
          <w:tcPr>
            <w:tcW w:w="8790" w:type="dxa"/>
            <w:gridSpan w:val="2"/>
            <w:tcBorders>
              <w:top w:val="single" w:sz="12" w:space="0" w:color="auto"/>
              <w:left w:val="single" w:sz="12" w:space="0" w:color="auto"/>
              <w:bottom w:val="single" w:sz="12" w:space="0" w:color="auto"/>
              <w:right w:val="single" w:sz="12" w:space="0" w:color="auto"/>
            </w:tcBorders>
            <w:vAlign w:val="center"/>
          </w:tcPr>
          <w:p w:rsidR="009E0BD9" w:rsidRPr="00093BA1" w:rsidRDefault="009E0BD9" w:rsidP="00472CD1">
            <w:pPr>
              <w:widowControl w:val="0"/>
              <w:autoSpaceDE w:val="0"/>
              <w:autoSpaceDN w:val="0"/>
              <w:adjustRightInd w:val="0"/>
              <w:spacing w:after="0" w:line="240" w:lineRule="auto"/>
              <w:jc w:val="left"/>
              <w:rPr>
                <w:rFonts w:ascii="Century Gothic" w:eastAsia="Times New Roman" w:hAnsi="Century Gothic"/>
                <w:b/>
                <w:color w:val="0D0D0D" w:themeColor="text1" w:themeTint="F2"/>
                <w:szCs w:val="24"/>
                <w:lang w:val="en-GB"/>
              </w:rPr>
            </w:pPr>
            <w:r w:rsidRPr="00093BA1">
              <w:rPr>
                <w:rFonts w:eastAsia="Times New Roman"/>
                <w:color w:val="0D0D0D" w:themeColor="text1" w:themeTint="F2"/>
                <w:szCs w:val="24"/>
                <w:lang w:val="en-GB"/>
              </w:rPr>
              <w:br w:type="page"/>
            </w:r>
            <w:r w:rsidRPr="00093BA1">
              <w:rPr>
                <w:rFonts w:ascii="Century Gothic" w:eastAsia="Times New Roman" w:hAnsi="Century Gothic"/>
                <w:b/>
                <w:color w:val="0D0D0D" w:themeColor="text1" w:themeTint="F2"/>
                <w:szCs w:val="24"/>
                <w:lang w:val="en-GB"/>
              </w:rPr>
              <w:t>COSHH risk assessment - University of Oxford COSHH Assessment Form</w:t>
            </w:r>
          </w:p>
        </w:tc>
      </w:tr>
      <w:tr w:rsidR="009E0BD9" w:rsidRPr="00093BA1" w:rsidTr="007A5E14">
        <w:trPr>
          <w:trHeight w:val="524"/>
          <w:jc w:val="center"/>
        </w:trPr>
        <w:tc>
          <w:tcPr>
            <w:tcW w:w="4111" w:type="dxa"/>
            <w:tcBorders>
              <w:top w:val="single" w:sz="12" w:space="0" w:color="auto"/>
              <w:left w:val="single" w:sz="12"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Description of procedure</w:t>
            </w:r>
          </w:p>
          <w:p w:rsidR="009E0BD9" w:rsidRPr="00093BA1" w:rsidRDefault="0081460A" w:rsidP="00472CD1">
            <w:pPr>
              <w:jc w:val="left"/>
              <w:rPr>
                <w:szCs w:val="24"/>
                <w:lang w:val="en-GB" w:bidi="x-none"/>
              </w:rPr>
            </w:pPr>
            <w:r w:rsidRPr="00E6439E">
              <w:rPr>
                <w:szCs w:val="24"/>
                <w:lang w:val="en-GB" w:bidi="x-none"/>
              </w:rPr>
              <w:t>Culture of blood</w:t>
            </w:r>
            <w:r>
              <w:rPr>
                <w:szCs w:val="24"/>
                <w:lang w:val="en-GB" w:bidi="x-none"/>
              </w:rPr>
              <w:t xml:space="preserve"> to identify bacterial and fungal pathogens</w:t>
            </w:r>
          </w:p>
        </w:tc>
        <w:tc>
          <w:tcPr>
            <w:tcW w:w="4679" w:type="dxa"/>
            <w:tcBorders>
              <w:top w:val="single" w:sz="12" w:space="0" w:color="auto"/>
              <w:left w:val="single" w:sz="6" w:space="0" w:color="auto"/>
              <w:right w:val="single" w:sz="12"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Substances used</w:t>
            </w:r>
          </w:p>
          <w:p w:rsidR="009E0BD9" w:rsidRPr="00093BA1" w:rsidRDefault="005544A3" w:rsidP="0080500D">
            <w:pPr>
              <w:jc w:val="left"/>
              <w:rPr>
                <w:rFonts w:cs="Helvetica"/>
                <w:color w:val="0D0D0D" w:themeColor="text1" w:themeTint="F2"/>
                <w:lang w:val="en-GB"/>
              </w:rPr>
            </w:pPr>
            <w:r w:rsidRPr="00093BA1">
              <w:rPr>
                <w:rFonts w:cs="Helvetica"/>
                <w:color w:val="0D0D0D" w:themeColor="text1" w:themeTint="F2"/>
                <w:lang w:val="en-GB"/>
              </w:rPr>
              <w:t xml:space="preserve">Variable, depending on organism cultured (may include Gram stain reagents; 3% hydrogen peroxide (catalase test); </w:t>
            </w:r>
            <w:r w:rsidRPr="00093BA1">
              <w:rPr>
                <w:rFonts w:eastAsia="Calibri"/>
                <w:lang w:val="en-GB" w:bidi="th-TH"/>
              </w:rPr>
              <w:t>N,N,N',N'-tetramethyl-1,4-phenylenediamine</w:t>
            </w:r>
            <w:r w:rsidRPr="00093BA1">
              <w:rPr>
                <w:lang w:val="en-GB" w:bidi="th-TH"/>
              </w:rPr>
              <w:t xml:space="preserve"> (oxidase test); s</w:t>
            </w:r>
            <w:r w:rsidRPr="00093BA1">
              <w:rPr>
                <w:rFonts w:eastAsia="Calibri"/>
                <w:lang w:val="en-GB"/>
              </w:rPr>
              <w:t>odium deoxycholate</w:t>
            </w:r>
            <w:r w:rsidRPr="00093BA1">
              <w:rPr>
                <w:lang w:val="en-GB"/>
              </w:rPr>
              <w:t xml:space="preserve"> (bile solubility test); bioMerieux API reagents)</w:t>
            </w:r>
          </w:p>
        </w:tc>
      </w:tr>
      <w:tr w:rsidR="009E0BD9" w:rsidRPr="00093BA1" w:rsidTr="007A5E14">
        <w:trPr>
          <w:trHeight w:val="350"/>
          <w:jc w:val="center"/>
        </w:trPr>
        <w:tc>
          <w:tcPr>
            <w:tcW w:w="4111" w:type="dxa"/>
            <w:tcBorders>
              <w:top w:val="single" w:sz="6" w:space="0" w:color="auto"/>
              <w:left w:val="single" w:sz="12"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Quantities of chemicals used</w:t>
            </w:r>
          </w:p>
          <w:p w:rsidR="009E0BD9" w:rsidRPr="00093BA1" w:rsidRDefault="00BE70AE" w:rsidP="00472CD1">
            <w:pPr>
              <w:spacing w:after="0" w:line="240" w:lineRule="auto"/>
              <w:jc w:val="left"/>
              <w:rPr>
                <w:rFonts w:eastAsia="Times New Roman"/>
                <w:color w:val="0D0D0D" w:themeColor="text1" w:themeTint="F2"/>
                <w:szCs w:val="24"/>
                <w:lang w:val="en-GB"/>
              </w:rPr>
            </w:pPr>
            <w:r w:rsidRPr="00093BA1">
              <w:rPr>
                <w:rFonts w:eastAsia="Times New Roman"/>
                <w:color w:val="0D0D0D" w:themeColor="text1" w:themeTint="F2"/>
                <w:szCs w:val="24"/>
                <w:lang w:val="en-GB"/>
              </w:rPr>
              <w:t>Small</w:t>
            </w:r>
          </w:p>
        </w:tc>
        <w:tc>
          <w:tcPr>
            <w:tcW w:w="4679" w:type="dxa"/>
            <w:tcBorders>
              <w:top w:val="single" w:sz="6" w:space="0" w:color="auto"/>
              <w:left w:val="single" w:sz="6" w:space="0" w:color="auto"/>
              <w:right w:val="single" w:sz="12"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Frequency of SOP use</w:t>
            </w:r>
          </w:p>
          <w:p w:rsidR="009E0BD9" w:rsidRPr="00093BA1" w:rsidRDefault="009E0BD9" w:rsidP="00472CD1">
            <w:pPr>
              <w:spacing w:after="0" w:line="240" w:lineRule="auto"/>
              <w:jc w:val="left"/>
              <w:rPr>
                <w:szCs w:val="24"/>
                <w:lang w:val="en-GB" w:bidi="x-none"/>
              </w:rPr>
            </w:pPr>
            <w:r w:rsidRPr="00093BA1">
              <w:rPr>
                <w:szCs w:val="24"/>
                <w:lang w:val="en-GB" w:bidi="x-none"/>
              </w:rPr>
              <w:t>Daily</w:t>
            </w:r>
          </w:p>
        </w:tc>
      </w:tr>
      <w:tr w:rsidR="009E0BD9" w:rsidRPr="00093BA1" w:rsidTr="007A5E14">
        <w:trPr>
          <w:jc w:val="center"/>
        </w:trPr>
        <w:tc>
          <w:tcPr>
            <w:tcW w:w="4111" w:type="dxa"/>
            <w:tcBorders>
              <w:top w:val="single" w:sz="6" w:space="0" w:color="auto"/>
              <w:left w:val="single" w:sz="12"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Hazards identified</w:t>
            </w:r>
          </w:p>
          <w:p w:rsidR="009E0BD9" w:rsidRPr="00093BA1" w:rsidRDefault="004C4C4B" w:rsidP="00472CD1">
            <w:pPr>
              <w:spacing w:after="0" w:line="240" w:lineRule="auto"/>
              <w:jc w:val="left"/>
              <w:rPr>
                <w:rFonts w:eastAsia="Times New Roman"/>
                <w:szCs w:val="24"/>
                <w:lang w:val="en-GB" w:bidi="x-none"/>
              </w:rPr>
            </w:pPr>
            <w:r w:rsidRPr="00093BA1">
              <w:rPr>
                <w:rFonts w:eastAsia="Times New Roman"/>
                <w:szCs w:val="24"/>
                <w:lang w:val="en-GB" w:bidi="x-none"/>
              </w:rPr>
              <w:t xml:space="preserve">1. </w:t>
            </w:r>
            <w:r w:rsidR="009E0BD9" w:rsidRPr="00093BA1">
              <w:rPr>
                <w:rFonts w:eastAsia="Times New Roman"/>
                <w:szCs w:val="24"/>
                <w:lang w:val="en-GB" w:bidi="x-none"/>
              </w:rPr>
              <w:t>Autoclaved liquid</w:t>
            </w:r>
          </w:p>
          <w:p w:rsidR="009E0BD9" w:rsidRPr="00093BA1" w:rsidRDefault="004C4C4B" w:rsidP="00472CD1">
            <w:pPr>
              <w:spacing w:after="0" w:line="240" w:lineRule="auto"/>
              <w:jc w:val="left"/>
              <w:rPr>
                <w:rFonts w:eastAsia="Times New Roman"/>
                <w:szCs w:val="24"/>
                <w:lang w:val="en-GB" w:bidi="x-none"/>
              </w:rPr>
            </w:pPr>
            <w:r w:rsidRPr="00093BA1">
              <w:rPr>
                <w:rFonts w:eastAsia="Times New Roman"/>
                <w:szCs w:val="24"/>
                <w:lang w:val="en-GB" w:bidi="x-none"/>
              </w:rPr>
              <w:t xml:space="preserve">2. </w:t>
            </w:r>
            <w:r w:rsidR="009E0BD9" w:rsidRPr="00093BA1">
              <w:rPr>
                <w:rFonts w:eastAsia="Times New Roman"/>
                <w:szCs w:val="24"/>
                <w:lang w:val="en-GB" w:bidi="x-none"/>
              </w:rPr>
              <w:t xml:space="preserve">Potentially infectious material in sample  </w:t>
            </w:r>
          </w:p>
          <w:p w:rsidR="009E0BD9" w:rsidRPr="00093BA1" w:rsidRDefault="004C4C4B" w:rsidP="00472CD1">
            <w:pPr>
              <w:spacing w:after="0" w:line="240" w:lineRule="auto"/>
              <w:jc w:val="left"/>
              <w:rPr>
                <w:rFonts w:eastAsia="Times New Roman"/>
                <w:szCs w:val="24"/>
                <w:lang w:val="en-GB" w:bidi="x-none"/>
              </w:rPr>
            </w:pPr>
            <w:r w:rsidRPr="00093BA1">
              <w:rPr>
                <w:rFonts w:eastAsia="Times New Roman"/>
                <w:szCs w:val="24"/>
                <w:lang w:val="en-GB" w:bidi="x-none"/>
              </w:rPr>
              <w:t xml:space="preserve">3. </w:t>
            </w:r>
            <w:r w:rsidR="009E0BD9" w:rsidRPr="00093BA1">
              <w:rPr>
                <w:rFonts w:eastAsia="Times New Roman"/>
                <w:szCs w:val="24"/>
                <w:lang w:val="en-GB" w:bidi="x-none"/>
              </w:rPr>
              <w:t>Potentially pathogenic bacteria</w:t>
            </w:r>
          </w:p>
          <w:p w:rsidR="00BE70AE" w:rsidRPr="00093BA1" w:rsidRDefault="00BE70AE" w:rsidP="00472CD1">
            <w:pPr>
              <w:spacing w:after="0" w:line="240" w:lineRule="auto"/>
              <w:jc w:val="left"/>
              <w:rPr>
                <w:rFonts w:eastAsia="Times New Roman"/>
                <w:color w:val="0D0D0D" w:themeColor="text1" w:themeTint="F2"/>
                <w:szCs w:val="24"/>
                <w:lang w:val="en-GB"/>
              </w:rPr>
            </w:pPr>
            <w:r w:rsidRPr="00093BA1">
              <w:rPr>
                <w:rFonts w:eastAsia="Times New Roman"/>
                <w:szCs w:val="24"/>
                <w:lang w:val="en-GB" w:bidi="x-none"/>
              </w:rPr>
              <w:t>4. Chemical exposure form bacterial identification tests</w:t>
            </w:r>
          </w:p>
        </w:tc>
        <w:tc>
          <w:tcPr>
            <w:tcW w:w="4679" w:type="dxa"/>
            <w:tcBorders>
              <w:top w:val="single" w:sz="6" w:space="0" w:color="auto"/>
              <w:left w:val="single" w:sz="6" w:space="0" w:color="auto"/>
              <w:right w:val="single" w:sz="12" w:space="0" w:color="auto"/>
            </w:tcBorders>
          </w:tcPr>
          <w:p w:rsidR="009E0BD9" w:rsidRPr="00093BA1" w:rsidRDefault="009E0BD9" w:rsidP="00472CD1">
            <w:pPr>
              <w:spacing w:after="0" w:line="240" w:lineRule="auto"/>
              <w:jc w:val="left"/>
              <w:rPr>
                <w:rFonts w:ascii="Century Gothic" w:hAnsi="Century Gothic"/>
                <w:szCs w:val="24"/>
                <w:lang w:val="en-GB" w:bidi="x-none"/>
              </w:rPr>
            </w:pPr>
            <w:r w:rsidRPr="00093BA1">
              <w:rPr>
                <w:rFonts w:ascii="Century Gothic" w:hAnsi="Century Gothic"/>
                <w:b/>
                <w:bCs/>
                <w:szCs w:val="24"/>
                <w:lang w:val="en-GB" w:bidi="x-none"/>
              </w:rPr>
              <w:t>Could a less hazardous substance be used instead?</w:t>
            </w:r>
            <w:r w:rsidRPr="00093BA1">
              <w:rPr>
                <w:rFonts w:ascii="Century Gothic" w:hAnsi="Century Gothic"/>
                <w:szCs w:val="24"/>
                <w:lang w:val="en-GB" w:bidi="x-none"/>
              </w:rPr>
              <w:t xml:space="preserve">    </w:t>
            </w:r>
          </w:p>
          <w:p w:rsidR="009E0BD9" w:rsidRPr="00093BA1" w:rsidRDefault="009E0BD9" w:rsidP="00472CD1">
            <w:pPr>
              <w:spacing w:after="0" w:line="240" w:lineRule="auto"/>
              <w:jc w:val="left"/>
              <w:rPr>
                <w:szCs w:val="24"/>
                <w:lang w:val="en-GB" w:bidi="x-none"/>
              </w:rPr>
            </w:pPr>
            <w:r w:rsidRPr="00093BA1">
              <w:rPr>
                <w:szCs w:val="24"/>
                <w:lang w:val="en-GB" w:bidi="x-none"/>
              </w:rPr>
              <w:t>No</w:t>
            </w:r>
          </w:p>
        </w:tc>
      </w:tr>
      <w:tr w:rsidR="009E0BD9" w:rsidRPr="00093BA1" w:rsidTr="007A5E14">
        <w:trPr>
          <w:jc w:val="center"/>
        </w:trPr>
        <w:tc>
          <w:tcPr>
            <w:tcW w:w="8790" w:type="dxa"/>
            <w:gridSpan w:val="2"/>
            <w:tcBorders>
              <w:top w:val="single" w:sz="6" w:space="0" w:color="auto"/>
              <w:left w:val="single" w:sz="12" w:space="0" w:color="auto"/>
              <w:right w:val="single" w:sz="12"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 xml:space="preserve">What measures have you taken to control risk? </w:t>
            </w:r>
          </w:p>
          <w:p w:rsidR="009E0BD9" w:rsidRPr="00093BA1" w:rsidRDefault="004C4C4B" w:rsidP="00472CD1">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 xml:space="preserve">1. </w:t>
            </w:r>
            <w:r w:rsidR="009E0BD9" w:rsidRPr="00093BA1">
              <w:rPr>
                <w:rFonts w:eastAsia="Times New Roman" w:cs="Helvetica"/>
                <w:color w:val="0D0D0D" w:themeColor="text1" w:themeTint="F2"/>
                <w:szCs w:val="16"/>
                <w:lang w:val="en-GB"/>
              </w:rPr>
              <w:t>Training in good laboratory practices (GLP)</w:t>
            </w:r>
          </w:p>
          <w:p w:rsidR="009E0BD9" w:rsidRPr="00093BA1" w:rsidRDefault="004C4C4B" w:rsidP="00472CD1">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 xml:space="preserve">2. </w:t>
            </w:r>
            <w:r w:rsidR="009E0BD9" w:rsidRPr="00093BA1">
              <w:rPr>
                <w:rFonts w:eastAsia="Times New Roman" w:cs="Helvetica"/>
                <w:color w:val="0D0D0D" w:themeColor="text1" w:themeTint="F2"/>
                <w:szCs w:val="16"/>
                <w:lang w:val="en-GB"/>
              </w:rPr>
              <w:t>Appropriate PPE (lab coat, gloves, eye protection)</w:t>
            </w:r>
          </w:p>
          <w:p w:rsidR="009E0BD9" w:rsidRPr="00093BA1" w:rsidRDefault="004C4C4B" w:rsidP="00472CD1">
            <w:pPr>
              <w:spacing w:after="0" w:line="240" w:lineRule="auto"/>
              <w:jc w:val="left"/>
              <w:rPr>
                <w:rFonts w:eastAsia="Times New Roman"/>
                <w:color w:val="0D0D0D" w:themeColor="text1" w:themeTint="F2"/>
                <w:szCs w:val="24"/>
                <w:lang w:val="en-GB"/>
              </w:rPr>
            </w:pPr>
            <w:r w:rsidRPr="00093BA1">
              <w:rPr>
                <w:rFonts w:eastAsia="Times New Roman" w:cs="Helvetica"/>
                <w:color w:val="0D0D0D" w:themeColor="text1" w:themeTint="F2"/>
                <w:szCs w:val="16"/>
                <w:lang w:val="en-GB"/>
              </w:rPr>
              <w:t xml:space="preserve">3. </w:t>
            </w:r>
            <w:r w:rsidR="009E0BD9" w:rsidRPr="00093BA1">
              <w:rPr>
                <w:rFonts w:eastAsia="Times New Roman" w:cs="Helvetica"/>
                <w:color w:val="0D0D0D" w:themeColor="text1" w:themeTint="F2"/>
                <w:szCs w:val="16"/>
                <w:lang w:val="en-GB"/>
              </w:rPr>
              <w:t>Use of biosafet</w:t>
            </w:r>
            <w:r w:rsidRPr="00093BA1">
              <w:rPr>
                <w:rFonts w:eastAsia="Times New Roman" w:cs="Helvetica"/>
                <w:color w:val="0D0D0D" w:themeColor="text1" w:themeTint="F2"/>
                <w:szCs w:val="16"/>
                <w:lang w:val="en-GB"/>
              </w:rPr>
              <w:t xml:space="preserve">y cabinet for reading of plates </w:t>
            </w:r>
            <w:r w:rsidR="0081460A">
              <w:rPr>
                <w:rFonts w:eastAsia="Times New Roman" w:cs="Helvetica"/>
                <w:color w:val="0D0D0D" w:themeColor="text1" w:themeTint="F2"/>
                <w:szCs w:val="16"/>
                <w:lang w:val="en-GB"/>
              </w:rPr>
              <w:t xml:space="preserve">until known not to be growing an HG3 organism </w:t>
            </w:r>
            <w:r w:rsidRPr="00093BA1">
              <w:rPr>
                <w:rFonts w:eastAsia="Times New Roman" w:cs="Helvetica"/>
                <w:color w:val="0D0D0D" w:themeColor="text1" w:themeTint="F2"/>
                <w:szCs w:val="16"/>
                <w:lang w:val="en-GB"/>
              </w:rPr>
              <w:t>/</w:t>
            </w:r>
            <w:r w:rsidR="009E0BD9" w:rsidRPr="00093BA1">
              <w:rPr>
                <w:rFonts w:eastAsia="Times New Roman" w:cs="Helvetica"/>
                <w:color w:val="0D0D0D" w:themeColor="text1" w:themeTint="F2"/>
                <w:szCs w:val="16"/>
                <w:lang w:val="en-GB"/>
              </w:rPr>
              <w:t xml:space="preserve"> follow-up of BSL-3 organisms (e.g. </w:t>
            </w:r>
            <w:r w:rsidR="009E0BD9" w:rsidRPr="00093BA1">
              <w:rPr>
                <w:rFonts w:eastAsia="Times New Roman" w:cs="Helvetica"/>
                <w:i/>
                <w:iCs/>
                <w:color w:val="0D0D0D" w:themeColor="text1" w:themeTint="F2"/>
                <w:szCs w:val="16"/>
                <w:lang w:val="en-GB"/>
              </w:rPr>
              <w:t>B. pseudomallei</w:t>
            </w:r>
            <w:r w:rsidR="009E0BD9" w:rsidRPr="00093BA1">
              <w:rPr>
                <w:rFonts w:eastAsia="Times New Roman" w:cs="Helvetica"/>
                <w:color w:val="0D0D0D" w:themeColor="text1" w:themeTint="F2"/>
                <w:szCs w:val="16"/>
                <w:lang w:val="en-GB"/>
              </w:rPr>
              <w:t>)</w:t>
            </w:r>
          </w:p>
        </w:tc>
      </w:tr>
      <w:tr w:rsidR="009E0BD9" w:rsidRPr="00093BA1" w:rsidTr="007A5E14">
        <w:trPr>
          <w:jc w:val="center"/>
        </w:trPr>
        <w:tc>
          <w:tcPr>
            <w:tcW w:w="8790" w:type="dxa"/>
            <w:gridSpan w:val="2"/>
            <w:tcBorders>
              <w:top w:val="single" w:sz="6" w:space="0" w:color="auto"/>
              <w:left w:val="single" w:sz="12" w:space="0" w:color="auto"/>
              <w:right w:val="single" w:sz="12"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Checks on control measures</w:t>
            </w:r>
          </w:p>
          <w:p w:rsidR="009E0BD9" w:rsidRPr="00093BA1" w:rsidRDefault="009E0BD9" w:rsidP="00472CD1">
            <w:pPr>
              <w:spacing w:after="0" w:line="240" w:lineRule="auto"/>
              <w:jc w:val="left"/>
              <w:rPr>
                <w:b/>
                <w:bCs/>
                <w:szCs w:val="24"/>
                <w:lang w:val="en-GB" w:bidi="x-none"/>
              </w:rPr>
            </w:pPr>
            <w:r w:rsidRPr="00093BA1">
              <w:rPr>
                <w:szCs w:val="24"/>
                <w:lang w:val="en-GB" w:bidi="x-none"/>
              </w:rPr>
              <w:t>Observation and supervision by senior staff</w:t>
            </w:r>
          </w:p>
        </w:tc>
      </w:tr>
      <w:tr w:rsidR="009E0BD9" w:rsidRPr="00093BA1" w:rsidTr="007A5E14">
        <w:trPr>
          <w:jc w:val="center"/>
        </w:trPr>
        <w:tc>
          <w:tcPr>
            <w:tcW w:w="4111" w:type="dxa"/>
            <w:tcBorders>
              <w:top w:val="single" w:sz="6" w:space="0" w:color="auto"/>
              <w:left w:val="single" w:sz="12" w:space="0" w:color="auto"/>
              <w:bottom w:val="single" w:sz="8"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Is health surveillance required?</w:t>
            </w:r>
          </w:p>
          <w:p w:rsidR="009E0BD9" w:rsidRPr="00093BA1" w:rsidRDefault="009E0BD9" w:rsidP="00472CD1">
            <w:pPr>
              <w:spacing w:after="0" w:line="240" w:lineRule="auto"/>
              <w:jc w:val="left"/>
              <w:rPr>
                <w:szCs w:val="24"/>
                <w:lang w:val="en-GB" w:bidi="x-none"/>
              </w:rPr>
            </w:pPr>
            <w:r w:rsidRPr="00093BA1">
              <w:rPr>
                <w:szCs w:val="24"/>
                <w:lang w:val="en-GB" w:bidi="x-none"/>
              </w:rPr>
              <w:t>No</w:t>
            </w:r>
          </w:p>
        </w:tc>
        <w:tc>
          <w:tcPr>
            <w:tcW w:w="4679" w:type="dxa"/>
            <w:tcBorders>
              <w:top w:val="single" w:sz="6" w:space="0" w:color="auto"/>
              <w:left w:val="single" w:sz="6" w:space="0" w:color="auto"/>
              <w:bottom w:val="single" w:sz="8" w:space="0" w:color="auto"/>
              <w:right w:val="single" w:sz="12"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Training requirements:</w:t>
            </w:r>
          </w:p>
          <w:p w:rsidR="009E0BD9" w:rsidRPr="00093BA1" w:rsidRDefault="009E0BD9" w:rsidP="00472CD1">
            <w:pPr>
              <w:spacing w:after="0" w:line="240" w:lineRule="auto"/>
              <w:jc w:val="left"/>
              <w:rPr>
                <w:szCs w:val="24"/>
                <w:lang w:val="en-GB" w:bidi="x-none"/>
              </w:rPr>
            </w:pPr>
            <w:r w:rsidRPr="00093BA1">
              <w:rPr>
                <w:szCs w:val="24"/>
                <w:lang w:val="en-GB" w:bidi="x-none"/>
              </w:rPr>
              <w:t>GLP</w:t>
            </w:r>
          </w:p>
        </w:tc>
      </w:tr>
      <w:tr w:rsidR="009E0BD9" w:rsidRPr="00093BA1" w:rsidTr="007A5E14">
        <w:trPr>
          <w:jc w:val="center"/>
        </w:trPr>
        <w:tc>
          <w:tcPr>
            <w:tcW w:w="4111" w:type="dxa"/>
            <w:tcBorders>
              <w:top w:val="single" w:sz="8" w:space="0" w:color="auto"/>
              <w:left w:val="single" w:sz="12" w:space="0" w:color="auto"/>
              <w:bottom w:val="single" w:sz="12" w:space="0" w:color="auto"/>
              <w:right w:val="single" w:sz="8" w:space="0" w:color="auto"/>
            </w:tcBorders>
          </w:tcPr>
          <w:p w:rsidR="009E0BD9" w:rsidRPr="00093BA1" w:rsidRDefault="009E0BD9" w:rsidP="00472CD1">
            <w:pPr>
              <w:spacing w:after="0" w:line="240" w:lineRule="auto"/>
              <w:jc w:val="left"/>
              <w:rPr>
                <w:rFonts w:ascii="Century Gothic" w:hAnsi="Century Gothic"/>
                <w:szCs w:val="24"/>
                <w:lang w:val="en-GB" w:bidi="x-none"/>
              </w:rPr>
            </w:pPr>
            <w:r w:rsidRPr="00093BA1">
              <w:rPr>
                <w:rFonts w:ascii="Century Gothic" w:hAnsi="Century Gothic"/>
                <w:b/>
                <w:bCs/>
                <w:szCs w:val="24"/>
                <w:lang w:val="en-GB" w:bidi="x-none"/>
              </w:rPr>
              <w:t>Emergency procedures</w:t>
            </w:r>
            <w:r w:rsidRPr="00093BA1">
              <w:rPr>
                <w:rFonts w:ascii="Century Gothic" w:hAnsi="Century Gothic"/>
                <w:szCs w:val="24"/>
                <w:lang w:val="en-GB" w:bidi="x-none"/>
              </w:rPr>
              <w:t>:</w:t>
            </w:r>
          </w:p>
          <w:p w:rsidR="009E0BD9" w:rsidRPr="00093BA1" w:rsidRDefault="004C4C4B" w:rsidP="00472CD1">
            <w:pPr>
              <w:spacing w:after="0" w:line="240" w:lineRule="auto"/>
              <w:jc w:val="left"/>
              <w:rPr>
                <w:szCs w:val="24"/>
                <w:lang w:val="en-GB" w:bidi="x-none"/>
              </w:rPr>
            </w:pPr>
            <w:r w:rsidRPr="00093BA1">
              <w:rPr>
                <w:szCs w:val="24"/>
                <w:lang w:val="en-GB" w:bidi="x-none"/>
              </w:rPr>
              <w:t xml:space="preserve">1. </w:t>
            </w:r>
            <w:r w:rsidR="009E0BD9" w:rsidRPr="00093BA1">
              <w:rPr>
                <w:szCs w:val="24"/>
                <w:lang w:val="en-GB" w:bidi="x-none"/>
              </w:rPr>
              <w:t>Report all incidents to Safety Adviser</w:t>
            </w:r>
          </w:p>
          <w:p w:rsidR="009E0BD9" w:rsidRPr="00093BA1" w:rsidRDefault="004C4C4B" w:rsidP="00472CD1">
            <w:pPr>
              <w:spacing w:after="0" w:line="240" w:lineRule="auto"/>
              <w:jc w:val="left"/>
              <w:rPr>
                <w:szCs w:val="24"/>
                <w:lang w:val="en-GB" w:bidi="x-none"/>
              </w:rPr>
            </w:pPr>
            <w:r w:rsidRPr="00093BA1">
              <w:rPr>
                <w:szCs w:val="24"/>
                <w:lang w:val="en-GB" w:bidi="x-none"/>
              </w:rPr>
              <w:t>2. Use eye</w:t>
            </w:r>
            <w:r w:rsidR="009E0BD9" w:rsidRPr="00093BA1">
              <w:rPr>
                <w:szCs w:val="24"/>
                <w:lang w:val="en-GB" w:bidi="x-none"/>
              </w:rPr>
              <w:t>wash for splashes</w:t>
            </w:r>
          </w:p>
          <w:p w:rsidR="009E0BD9" w:rsidRPr="00093BA1" w:rsidRDefault="004C4C4B" w:rsidP="00472CD1">
            <w:pPr>
              <w:spacing w:after="0" w:line="240" w:lineRule="auto"/>
              <w:jc w:val="left"/>
              <w:rPr>
                <w:rFonts w:eastAsia="Times New Roman"/>
                <w:color w:val="0D0D0D" w:themeColor="text1" w:themeTint="F2"/>
                <w:szCs w:val="24"/>
                <w:lang w:val="en-GB"/>
              </w:rPr>
            </w:pPr>
            <w:r w:rsidRPr="00093BA1">
              <w:rPr>
                <w:szCs w:val="24"/>
                <w:lang w:val="en-GB"/>
              </w:rPr>
              <w:t xml:space="preserve">3. </w:t>
            </w:r>
            <w:r w:rsidR="009E0BD9" w:rsidRPr="00093BA1">
              <w:rPr>
                <w:szCs w:val="24"/>
                <w:lang w:val="en-GB"/>
              </w:rPr>
              <w:t xml:space="preserve">Clean up </w:t>
            </w:r>
            <w:r w:rsidRPr="00093BA1">
              <w:rPr>
                <w:szCs w:val="24"/>
                <w:lang w:val="en-GB"/>
              </w:rPr>
              <w:t xml:space="preserve">spills </w:t>
            </w:r>
            <w:r w:rsidR="009E0BD9" w:rsidRPr="00093BA1">
              <w:rPr>
                <w:szCs w:val="24"/>
                <w:lang w:val="en-GB"/>
              </w:rPr>
              <w:t>using 1% Virkon</w:t>
            </w:r>
            <w:r w:rsidRPr="00093BA1">
              <w:rPr>
                <w:szCs w:val="24"/>
                <w:lang w:val="en-GB"/>
              </w:rPr>
              <w:t xml:space="preserve"> or chemical spill kit</w:t>
            </w:r>
          </w:p>
        </w:tc>
        <w:tc>
          <w:tcPr>
            <w:tcW w:w="4679" w:type="dxa"/>
            <w:tcBorders>
              <w:top w:val="single" w:sz="8" w:space="0" w:color="auto"/>
              <w:left w:val="single" w:sz="8" w:space="0" w:color="auto"/>
              <w:bottom w:val="single" w:sz="12" w:space="0" w:color="auto"/>
              <w:right w:val="single" w:sz="12" w:space="0" w:color="auto"/>
            </w:tcBorders>
          </w:tcPr>
          <w:p w:rsidR="009E0BD9" w:rsidRPr="00093BA1" w:rsidRDefault="009E0BD9" w:rsidP="00472CD1">
            <w:pPr>
              <w:spacing w:after="0" w:line="240" w:lineRule="auto"/>
              <w:jc w:val="left"/>
              <w:rPr>
                <w:rFonts w:ascii="Century Gothic" w:hAnsi="Century Gothic"/>
                <w:szCs w:val="24"/>
                <w:lang w:val="en-GB" w:bidi="x-none"/>
              </w:rPr>
            </w:pPr>
            <w:r w:rsidRPr="00093BA1">
              <w:rPr>
                <w:rFonts w:ascii="Century Gothic" w:hAnsi="Century Gothic"/>
                <w:b/>
                <w:bCs/>
                <w:szCs w:val="24"/>
                <w:lang w:val="en-GB" w:bidi="x-none"/>
              </w:rPr>
              <w:t>Waste disposal procedures</w:t>
            </w:r>
            <w:r w:rsidRPr="00093BA1">
              <w:rPr>
                <w:rFonts w:ascii="Century Gothic" w:hAnsi="Century Gothic"/>
                <w:szCs w:val="24"/>
                <w:lang w:val="en-GB" w:bidi="x-none"/>
              </w:rPr>
              <w:t>:</w:t>
            </w:r>
          </w:p>
          <w:p w:rsidR="009E0BD9" w:rsidRPr="00093BA1" w:rsidRDefault="004C4C4B" w:rsidP="00472CD1">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 xml:space="preserve">1. </w:t>
            </w:r>
            <w:r w:rsidR="009E0BD9" w:rsidRPr="00093BA1">
              <w:rPr>
                <w:rFonts w:eastAsia="Times New Roman" w:cs="Helvetica"/>
                <w:color w:val="0D0D0D" w:themeColor="text1" w:themeTint="F2"/>
                <w:szCs w:val="16"/>
                <w:lang w:val="en-GB"/>
              </w:rPr>
              <w:t>Sharps discarded into appropriate ri</w:t>
            </w:r>
            <w:r w:rsidRPr="00093BA1">
              <w:rPr>
                <w:rFonts w:eastAsia="Times New Roman" w:cs="Helvetica"/>
                <w:color w:val="0D0D0D" w:themeColor="text1" w:themeTint="F2"/>
                <w:szCs w:val="16"/>
                <w:lang w:val="en-GB"/>
              </w:rPr>
              <w:t>gid containers for incineration</w:t>
            </w:r>
          </w:p>
          <w:p w:rsidR="009E0BD9" w:rsidRPr="00093BA1" w:rsidRDefault="004C4C4B" w:rsidP="00472CD1">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 xml:space="preserve">2. </w:t>
            </w:r>
            <w:r w:rsidR="009E0BD9" w:rsidRPr="00093BA1">
              <w:rPr>
                <w:rFonts w:eastAsia="Times New Roman" w:cs="Helvetica"/>
                <w:color w:val="0D0D0D" w:themeColor="text1" w:themeTint="F2"/>
                <w:szCs w:val="16"/>
                <w:lang w:val="en-GB"/>
              </w:rPr>
              <w:t>Infectious waste discarded into autoclave bags or 1% Virkon solution prior to autoclav</w:t>
            </w:r>
            <w:r w:rsidRPr="00093BA1">
              <w:rPr>
                <w:rFonts w:eastAsia="Times New Roman" w:cs="Helvetica"/>
                <w:color w:val="0D0D0D" w:themeColor="text1" w:themeTint="F2"/>
                <w:szCs w:val="16"/>
                <w:lang w:val="en-GB"/>
              </w:rPr>
              <w:t>ing and subsequent incineration</w:t>
            </w:r>
          </w:p>
          <w:p w:rsidR="009E0BD9" w:rsidRDefault="004C4C4B" w:rsidP="00472CD1">
            <w:pPr>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 xml:space="preserve">3. </w:t>
            </w:r>
            <w:r w:rsidR="009E0BD9" w:rsidRPr="00093BA1">
              <w:rPr>
                <w:rFonts w:eastAsia="Times New Roman" w:cs="Helvetica"/>
                <w:color w:val="0D0D0D" w:themeColor="text1" w:themeTint="F2"/>
                <w:szCs w:val="16"/>
                <w:lang w:val="en-GB"/>
              </w:rPr>
              <w:t>Chemical waste disposed of according to manufacturer’s instructions</w:t>
            </w:r>
          </w:p>
          <w:p w:rsidR="0081460A" w:rsidRPr="00093BA1" w:rsidRDefault="0081460A" w:rsidP="00472CD1">
            <w:pPr>
              <w:spacing w:after="0" w:line="240" w:lineRule="auto"/>
              <w:jc w:val="left"/>
              <w:rPr>
                <w:sz w:val="40"/>
                <w:szCs w:val="24"/>
                <w:lang w:val="en-GB" w:bidi="x-none"/>
              </w:rPr>
            </w:pPr>
            <w:r>
              <w:rPr>
                <w:rFonts w:eastAsia="Times New Roman"/>
                <w:color w:val="0D0D0D" w:themeColor="text1" w:themeTint="F2"/>
                <w:szCs w:val="24"/>
                <w:lang w:val="en-GB"/>
              </w:rPr>
              <w:t>4. Blood culture bottles are disposed of by autoclaving and subsequent incineration</w:t>
            </w:r>
          </w:p>
        </w:tc>
      </w:tr>
    </w:tbl>
    <w:p w:rsidR="00BF4A7B" w:rsidRPr="00093BA1" w:rsidRDefault="00BF4A7B" w:rsidP="002C3D24">
      <w:pPr>
        <w:rPr>
          <w:lang w:val="en-GB"/>
        </w:rPr>
      </w:pPr>
    </w:p>
    <w:sectPr w:rsidR="00BF4A7B" w:rsidRPr="00093BA1" w:rsidSect="006C64AF">
      <w:pgSz w:w="12240" w:h="15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693" w:rsidRDefault="00DD7693" w:rsidP="00D219C6">
      <w:r>
        <w:separator/>
      </w:r>
    </w:p>
  </w:endnote>
  <w:endnote w:type="continuationSeparator" w:id="0">
    <w:p w:rsidR="00DD7693" w:rsidRDefault="00DD7693" w:rsidP="00D2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70" w:rsidRPr="00983F5B" w:rsidRDefault="00DD0470" w:rsidP="00052E0B">
    <w:pPr>
      <w:pStyle w:val="Footer"/>
      <w:jc w:val="center"/>
      <w:rPr>
        <w:rFonts w:ascii="Century Gothic" w:hAnsi="Century Gothic"/>
        <w:lang w:val="en-GB"/>
      </w:rPr>
    </w:pPr>
    <w:r w:rsidRPr="00983F5B">
      <w:rPr>
        <w:rFonts w:ascii="Century Gothic" w:hAnsi="Century Gothic"/>
        <w:lang w:val="en-GB"/>
      </w:rPr>
      <w:t xml:space="preserve">Page </w:t>
    </w:r>
    <w:r w:rsidRPr="00983F5B">
      <w:rPr>
        <w:rFonts w:ascii="Century Gothic" w:hAnsi="Century Gothic"/>
        <w:lang w:val="en-GB"/>
      </w:rPr>
      <w:fldChar w:fldCharType="begin"/>
    </w:r>
    <w:r w:rsidRPr="00983F5B">
      <w:rPr>
        <w:rFonts w:ascii="Century Gothic" w:hAnsi="Century Gothic"/>
        <w:lang w:val="en-GB"/>
      </w:rPr>
      <w:instrText xml:space="preserve"> PAGE  \* Arabic  \* MERGEFORMAT </w:instrText>
    </w:r>
    <w:r w:rsidRPr="00983F5B">
      <w:rPr>
        <w:rFonts w:ascii="Century Gothic" w:hAnsi="Century Gothic"/>
        <w:lang w:val="en-GB"/>
      </w:rPr>
      <w:fldChar w:fldCharType="separate"/>
    </w:r>
    <w:r w:rsidR="00E262E5">
      <w:rPr>
        <w:rFonts w:ascii="Century Gothic" w:hAnsi="Century Gothic"/>
        <w:noProof/>
        <w:lang w:val="en-GB"/>
      </w:rPr>
      <w:t>1</w:t>
    </w:r>
    <w:r w:rsidRPr="00983F5B">
      <w:rPr>
        <w:rFonts w:ascii="Century Gothic" w:hAnsi="Century Gothic"/>
        <w:lang w:val="en-GB"/>
      </w:rPr>
      <w:fldChar w:fldCharType="end"/>
    </w:r>
    <w:r w:rsidRPr="00983F5B">
      <w:rPr>
        <w:rFonts w:ascii="Century Gothic" w:hAnsi="Century Gothic"/>
        <w:lang w:val="en-GB"/>
      </w:rPr>
      <w:t xml:space="preserve"> of </w:t>
    </w:r>
    <w:r w:rsidRPr="00983F5B">
      <w:rPr>
        <w:rFonts w:ascii="Century Gothic" w:hAnsi="Century Gothic"/>
        <w:lang w:val="en-GB"/>
      </w:rPr>
      <w:fldChar w:fldCharType="begin"/>
    </w:r>
    <w:r w:rsidRPr="00983F5B">
      <w:rPr>
        <w:rFonts w:ascii="Century Gothic" w:hAnsi="Century Gothic"/>
        <w:lang w:val="en-GB"/>
      </w:rPr>
      <w:instrText xml:space="preserve"> NUMPAGES  \* Arabic  \* MERGEFORMAT </w:instrText>
    </w:r>
    <w:r w:rsidRPr="00983F5B">
      <w:rPr>
        <w:rFonts w:ascii="Century Gothic" w:hAnsi="Century Gothic"/>
        <w:lang w:val="en-GB"/>
      </w:rPr>
      <w:fldChar w:fldCharType="separate"/>
    </w:r>
    <w:r w:rsidR="00E262E5">
      <w:rPr>
        <w:rFonts w:ascii="Century Gothic" w:hAnsi="Century Gothic"/>
        <w:noProof/>
        <w:lang w:val="en-GB"/>
      </w:rPr>
      <w:t>9</w:t>
    </w:r>
    <w:r w:rsidRPr="00983F5B">
      <w:rPr>
        <w:rFonts w:ascii="Century Gothic" w:hAnsi="Century Gothic"/>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693" w:rsidRDefault="00DD7693" w:rsidP="00D219C6">
      <w:r>
        <w:separator/>
      </w:r>
    </w:p>
  </w:footnote>
  <w:footnote w:type="continuationSeparator" w:id="0">
    <w:p w:rsidR="00DD7693" w:rsidRDefault="00DD7693" w:rsidP="00D21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B9" w:rsidRPr="00022DB9" w:rsidRDefault="00022DB9">
    <w:pPr>
      <w:rPr>
        <w:sz w:val="20"/>
      </w:rPr>
    </w:pPr>
    <w:r w:rsidRPr="00022DB9">
      <w:rPr>
        <w:sz w:val="20"/>
      </w:rPr>
      <mc:AlternateContent>
        <mc:Choice Requires="wps">
          <w:drawing>
            <wp:anchor distT="0" distB="0" distL="114300" distR="114300" simplePos="0" relativeHeight="251660288" behindDoc="0" locked="0" layoutInCell="1" allowOverlap="1" wp14:anchorId="7C1972D2" wp14:editId="7756D65A">
              <wp:simplePos x="0" y="0"/>
              <wp:positionH relativeFrom="margin">
                <wp:posOffset>2933065</wp:posOffset>
              </wp:positionH>
              <wp:positionV relativeFrom="paragraph">
                <wp:posOffset>-86995</wp:posOffset>
              </wp:positionV>
              <wp:extent cx="3067050" cy="525145"/>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DB9" w:rsidRDefault="00022DB9" w:rsidP="00022DB9">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0.95pt;margin-top:-6.85pt;width:241.5pt;height:4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RzggIAAA8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" stroked="f">
              <v:textbox>
                <w:txbxContent>
                  <w:p w:rsidR="00022DB9" w:rsidRDefault="00022DB9" w:rsidP="00022DB9">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r w:rsidRPr="00022DB9">
      <w:rPr>
        <w:sz w:val="20"/>
      </w:rPr>
      <w:drawing>
        <wp:anchor distT="0" distB="0" distL="114300" distR="114300" simplePos="0" relativeHeight="251659264" behindDoc="0" locked="0" layoutInCell="1" allowOverlap="1" wp14:anchorId="73F45739" wp14:editId="7FC322C2">
          <wp:simplePos x="0" y="0"/>
          <wp:positionH relativeFrom="margin">
            <wp:posOffset>-527050</wp:posOffset>
          </wp:positionH>
          <wp:positionV relativeFrom="margin">
            <wp:posOffset>-2399030</wp:posOffset>
          </wp:positionV>
          <wp:extent cx="1520190" cy="734695"/>
          <wp:effectExtent l="0" t="0" r="3810" b="8255"/>
          <wp:wrapSquare wrapText="bothSides"/>
          <wp:docPr id="8" name="Picture 8"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p>
  <w:p w:rsidR="00022DB9" w:rsidRPr="00022DB9" w:rsidRDefault="00022DB9">
    <w:pPr>
      <w:rPr>
        <w:sz w:val="20"/>
      </w:rPr>
    </w:pPr>
  </w:p>
  <w:p w:rsidR="00022DB9" w:rsidRPr="00022DB9" w:rsidRDefault="00022DB9">
    <w:pPr>
      <w:rPr>
        <w:sz w:val="20"/>
      </w:rPr>
    </w:pPr>
  </w:p>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FB0AA3" w:rsidRPr="00983F5B" w:rsidTr="00FB0AA3">
      <w:trPr>
        <w:trHeight w:val="293"/>
        <w:jc w:val="center"/>
      </w:trPr>
      <w:tc>
        <w:tcPr>
          <w:tcW w:w="10207" w:type="dxa"/>
          <w:gridSpan w:val="4"/>
          <w:shd w:val="clear" w:color="auto" w:fill="000000" w:themeFill="text1"/>
        </w:tcPr>
        <w:p w:rsidR="00FB0AA3" w:rsidRPr="00983F5B" w:rsidRDefault="00FB0AA3" w:rsidP="005551B7">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983F5B">
            <w:rPr>
              <w:rFonts w:ascii="Century Gothic" w:hAnsi="Century Gothic" w:cs="Arial"/>
              <w:smallCaps/>
              <w:color w:val="FFFFFF" w:themeColor="background1"/>
              <w:sz w:val="24"/>
              <w:szCs w:val="24"/>
              <w:lang w:val="en-GB"/>
            </w:rPr>
            <w:t>Microbiology Standard Operating Procedure</w:t>
          </w:r>
        </w:p>
      </w:tc>
    </w:tr>
    <w:tr w:rsidR="00FB0AA3" w:rsidRPr="00983F5B" w:rsidTr="0073622C">
      <w:trPr>
        <w:trHeight w:val="292"/>
        <w:jc w:val="center"/>
      </w:trPr>
      <w:tc>
        <w:tcPr>
          <w:tcW w:w="10207" w:type="dxa"/>
          <w:gridSpan w:val="4"/>
          <w:tcBorders>
            <w:bottom w:val="single" w:sz="4" w:space="0" w:color="auto"/>
          </w:tcBorders>
        </w:tcPr>
        <w:p w:rsidR="00FB0AA3" w:rsidRPr="00983F5B" w:rsidRDefault="007A6887" w:rsidP="00747D2E">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Pr>
              <w:rFonts w:ascii="Century Gothic" w:eastAsia="Times New Roman" w:hAnsi="Century Gothic" w:cs="Arial"/>
              <w:smallCaps/>
              <w:color w:val="auto"/>
              <w:sz w:val="24"/>
              <w:szCs w:val="24"/>
              <w:lang w:val="en-GB"/>
            </w:rPr>
            <w:t xml:space="preserve">Culture </w:t>
          </w:r>
          <w:r w:rsidR="00747D2E">
            <w:rPr>
              <w:rFonts w:ascii="Century Gothic" w:eastAsia="Times New Roman" w:hAnsi="Century Gothic" w:cs="Arial"/>
              <w:smallCaps/>
              <w:color w:val="auto"/>
              <w:sz w:val="24"/>
              <w:szCs w:val="24"/>
              <w:lang w:val="en-GB"/>
            </w:rPr>
            <w:t>of blood</w:t>
          </w:r>
        </w:p>
      </w:tc>
    </w:tr>
    <w:tr w:rsidR="00FD5712" w:rsidRPr="00983F5B" w:rsidTr="0073622C">
      <w:trPr>
        <w:jc w:val="center"/>
      </w:trPr>
      <w:tc>
        <w:tcPr>
          <w:tcW w:w="2551" w:type="dxa"/>
          <w:tcBorders>
            <w:top w:val="single" w:sz="4" w:space="0" w:color="auto"/>
            <w:left w:val="single" w:sz="4" w:space="0" w:color="auto"/>
            <w:bottom w:val="nil"/>
            <w:right w:val="nil"/>
          </w:tcBorders>
        </w:tcPr>
        <w:p w:rsidR="00FD5712" w:rsidRPr="00983F5B" w:rsidRDefault="00FD571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Document number / version:</w:t>
          </w:r>
        </w:p>
      </w:tc>
      <w:tc>
        <w:tcPr>
          <w:tcW w:w="2552" w:type="dxa"/>
          <w:tcBorders>
            <w:top w:val="single" w:sz="4" w:space="0" w:color="auto"/>
            <w:left w:val="nil"/>
            <w:bottom w:val="nil"/>
            <w:right w:val="nil"/>
          </w:tcBorders>
        </w:tcPr>
        <w:p w:rsidR="00FD5712" w:rsidRPr="00983F5B" w:rsidRDefault="00FD5712" w:rsidP="00747D2E">
          <w:pPr>
            <w:pStyle w:val="Header"/>
            <w:spacing w:before="40" w:after="40" w:line="240" w:lineRule="auto"/>
            <w:rPr>
              <w:rFonts w:ascii="Century Gothic" w:hAnsi="Century Gothic"/>
              <w:sz w:val="16"/>
              <w:szCs w:val="16"/>
              <w:lang w:val="en-GB"/>
            </w:rPr>
          </w:pPr>
        </w:p>
      </w:tc>
      <w:tc>
        <w:tcPr>
          <w:tcW w:w="2552" w:type="dxa"/>
          <w:tcBorders>
            <w:top w:val="single" w:sz="4" w:space="0" w:color="auto"/>
            <w:left w:val="nil"/>
            <w:bottom w:val="nil"/>
            <w:right w:val="nil"/>
          </w:tcBorders>
        </w:tcPr>
        <w:p w:rsidR="00FD5712" w:rsidRPr="00983F5B" w:rsidRDefault="00FD571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Reviewed and approved by:</w:t>
          </w:r>
        </w:p>
      </w:tc>
      <w:tc>
        <w:tcPr>
          <w:tcW w:w="2552" w:type="dxa"/>
          <w:tcBorders>
            <w:top w:val="single" w:sz="4" w:space="0" w:color="auto"/>
            <w:left w:val="nil"/>
            <w:bottom w:val="nil"/>
            <w:right w:val="single" w:sz="4" w:space="0" w:color="auto"/>
          </w:tcBorders>
        </w:tcPr>
        <w:p w:rsidR="00FD5712" w:rsidRPr="00EB39EE" w:rsidRDefault="00FD5712" w:rsidP="00E43F4A">
          <w:pPr>
            <w:pStyle w:val="Header"/>
            <w:spacing w:before="40" w:after="40" w:line="240" w:lineRule="auto"/>
            <w:rPr>
              <w:rFonts w:ascii="Century Gothic" w:hAnsi="Century Gothic"/>
              <w:sz w:val="16"/>
              <w:szCs w:val="16"/>
              <w:lang w:val="en-GB"/>
            </w:rPr>
          </w:pPr>
        </w:p>
      </w:tc>
    </w:tr>
    <w:tr w:rsidR="00FD5712" w:rsidRPr="00983F5B" w:rsidTr="0073622C">
      <w:trPr>
        <w:jc w:val="center"/>
      </w:trPr>
      <w:tc>
        <w:tcPr>
          <w:tcW w:w="2551" w:type="dxa"/>
          <w:tcBorders>
            <w:top w:val="nil"/>
            <w:left w:val="single" w:sz="4" w:space="0" w:color="auto"/>
            <w:bottom w:val="nil"/>
            <w:right w:val="nil"/>
          </w:tcBorders>
        </w:tcPr>
        <w:p w:rsidR="00FD5712" w:rsidRPr="00983F5B" w:rsidRDefault="00FD571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Replaces document:</w:t>
          </w:r>
        </w:p>
      </w:tc>
      <w:tc>
        <w:tcPr>
          <w:tcW w:w="2552" w:type="dxa"/>
          <w:tcBorders>
            <w:top w:val="nil"/>
            <w:left w:val="nil"/>
            <w:bottom w:val="nil"/>
            <w:right w:val="nil"/>
          </w:tcBorders>
        </w:tcPr>
        <w:p w:rsidR="00FD5712" w:rsidRPr="00EB39EE" w:rsidRDefault="00FD5712" w:rsidP="00E43F4A">
          <w:pPr>
            <w:pStyle w:val="Header"/>
            <w:spacing w:before="40" w:after="40" w:line="240" w:lineRule="auto"/>
            <w:rPr>
              <w:rFonts w:ascii="Century Gothic" w:hAnsi="Century Gothic"/>
              <w:sz w:val="16"/>
              <w:szCs w:val="16"/>
              <w:lang w:val="en-GB"/>
            </w:rPr>
          </w:pPr>
        </w:p>
      </w:tc>
      <w:tc>
        <w:tcPr>
          <w:tcW w:w="2552" w:type="dxa"/>
          <w:tcBorders>
            <w:top w:val="nil"/>
            <w:left w:val="nil"/>
            <w:bottom w:val="nil"/>
            <w:right w:val="nil"/>
          </w:tcBorders>
        </w:tcPr>
        <w:p w:rsidR="00FD5712" w:rsidRPr="00983F5B" w:rsidRDefault="00FD571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of original:</w:t>
          </w:r>
        </w:p>
      </w:tc>
      <w:tc>
        <w:tcPr>
          <w:tcW w:w="2552" w:type="dxa"/>
          <w:tcBorders>
            <w:top w:val="nil"/>
            <w:left w:val="nil"/>
            <w:bottom w:val="nil"/>
            <w:right w:val="single" w:sz="4" w:space="0" w:color="auto"/>
          </w:tcBorders>
        </w:tcPr>
        <w:p w:rsidR="00FD5712" w:rsidRPr="00EB39EE" w:rsidRDefault="00FD5712" w:rsidP="00E43F4A">
          <w:pPr>
            <w:pStyle w:val="Header"/>
            <w:spacing w:before="40" w:after="40" w:line="240" w:lineRule="auto"/>
            <w:rPr>
              <w:rFonts w:ascii="Century Gothic" w:hAnsi="Century Gothic"/>
              <w:sz w:val="16"/>
              <w:szCs w:val="16"/>
              <w:lang w:val="en-GB"/>
            </w:rPr>
          </w:pPr>
          <w:r w:rsidRPr="00EB39EE">
            <w:rPr>
              <w:rFonts w:ascii="Century Gothic" w:hAnsi="Century Gothic"/>
              <w:sz w:val="16"/>
              <w:szCs w:val="16"/>
              <w:lang w:val="en-GB"/>
            </w:rPr>
            <w:t>Sep-2005</w:t>
          </w:r>
        </w:p>
      </w:tc>
    </w:tr>
    <w:tr w:rsidR="00FD5712" w:rsidRPr="00983F5B" w:rsidTr="0073622C">
      <w:trPr>
        <w:jc w:val="center"/>
      </w:trPr>
      <w:tc>
        <w:tcPr>
          <w:tcW w:w="2551" w:type="dxa"/>
          <w:tcBorders>
            <w:top w:val="nil"/>
            <w:left w:val="single" w:sz="4" w:space="0" w:color="auto"/>
            <w:bottom w:val="nil"/>
            <w:right w:val="nil"/>
          </w:tcBorders>
        </w:tcPr>
        <w:p w:rsidR="00FD5712" w:rsidRPr="00983F5B" w:rsidRDefault="00FD571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Applies to:</w:t>
          </w:r>
        </w:p>
      </w:tc>
      <w:tc>
        <w:tcPr>
          <w:tcW w:w="2552" w:type="dxa"/>
          <w:tcBorders>
            <w:top w:val="nil"/>
            <w:left w:val="nil"/>
            <w:bottom w:val="nil"/>
            <w:right w:val="nil"/>
          </w:tcBorders>
        </w:tcPr>
        <w:p w:rsidR="00FD5712" w:rsidRPr="00EB39EE" w:rsidRDefault="00FD5712" w:rsidP="00E43F4A">
          <w:pPr>
            <w:pStyle w:val="Header"/>
            <w:spacing w:before="40" w:after="40" w:line="240" w:lineRule="auto"/>
            <w:rPr>
              <w:rFonts w:ascii="Century Gothic" w:hAnsi="Century Gothic"/>
              <w:sz w:val="16"/>
              <w:szCs w:val="16"/>
              <w:lang w:val="en-GB"/>
            </w:rPr>
          </w:pPr>
          <w:r w:rsidRPr="00EB39EE">
            <w:rPr>
              <w:rFonts w:ascii="Century Gothic" w:hAnsi="Century Gothic"/>
              <w:sz w:val="16"/>
              <w:szCs w:val="16"/>
              <w:lang w:val="en-GB"/>
            </w:rPr>
            <w:t>Microbiology laboratory</w:t>
          </w:r>
        </w:p>
      </w:tc>
      <w:tc>
        <w:tcPr>
          <w:tcW w:w="2552" w:type="dxa"/>
          <w:tcBorders>
            <w:top w:val="nil"/>
            <w:left w:val="nil"/>
            <w:bottom w:val="nil"/>
            <w:right w:val="nil"/>
          </w:tcBorders>
        </w:tcPr>
        <w:p w:rsidR="00FD5712" w:rsidRPr="00983F5B" w:rsidRDefault="00FD571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of revision:</w:t>
          </w:r>
        </w:p>
      </w:tc>
      <w:tc>
        <w:tcPr>
          <w:tcW w:w="2552" w:type="dxa"/>
          <w:tcBorders>
            <w:top w:val="nil"/>
            <w:left w:val="nil"/>
            <w:bottom w:val="nil"/>
            <w:right w:val="single" w:sz="4" w:space="0" w:color="auto"/>
          </w:tcBorders>
        </w:tcPr>
        <w:p w:rsidR="00FD5712" w:rsidRPr="00EB39EE" w:rsidRDefault="00FD5712" w:rsidP="00E43F4A">
          <w:pPr>
            <w:pStyle w:val="Header"/>
            <w:spacing w:before="40" w:after="40" w:line="240" w:lineRule="auto"/>
            <w:rPr>
              <w:rFonts w:ascii="Century Gothic" w:hAnsi="Century Gothic"/>
              <w:sz w:val="16"/>
              <w:szCs w:val="16"/>
              <w:lang w:val="en-GB"/>
            </w:rPr>
          </w:pPr>
        </w:p>
      </w:tc>
    </w:tr>
    <w:tr w:rsidR="00FD5712" w:rsidRPr="00983F5B" w:rsidTr="0073622C">
      <w:trPr>
        <w:jc w:val="center"/>
      </w:trPr>
      <w:tc>
        <w:tcPr>
          <w:tcW w:w="2551" w:type="dxa"/>
          <w:tcBorders>
            <w:top w:val="nil"/>
            <w:left w:val="single" w:sz="4" w:space="0" w:color="auto"/>
            <w:bottom w:val="single" w:sz="4" w:space="0" w:color="auto"/>
            <w:right w:val="nil"/>
          </w:tcBorders>
        </w:tcPr>
        <w:p w:rsidR="00FD5712" w:rsidRPr="00983F5B" w:rsidRDefault="00022DB9"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Modified</w:t>
          </w:r>
          <w:r w:rsidR="00FD5712" w:rsidRPr="00983F5B">
            <w:rPr>
              <w:rFonts w:ascii="Century Gothic" w:hAnsi="Century Gothic"/>
              <w:sz w:val="16"/>
              <w:szCs w:val="16"/>
              <w:lang w:val="en-GB"/>
            </w:rPr>
            <w:t xml:space="preserve"> by:</w:t>
          </w:r>
        </w:p>
      </w:tc>
      <w:tc>
        <w:tcPr>
          <w:tcW w:w="2552" w:type="dxa"/>
          <w:tcBorders>
            <w:top w:val="nil"/>
            <w:left w:val="nil"/>
            <w:bottom w:val="single" w:sz="4" w:space="0" w:color="auto"/>
            <w:right w:val="nil"/>
          </w:tcBorders>
        </w:tcPr>
        <w:p w:rsidR="00FD5712" w:rsidRPr="00EB39EE" w:rsidRDefault="00FD5712" w:rsidP="00E43F4A">
          <w:pPr>
            <w:pStyle w:val="Header"/>
            <w:spacing w:before="40" w:after="40" w:line="240" w:lineRule="auto"/>
            <w:rPr>
              <w:rFonts w:ascii="Century Gothic" w:hAnsi="Century Gothic"/>
              <w:sz w:val="16"/>
              <w:szCs w:val="16"/>
              <w:lang w:val="en-GB"/>
            </w:rPr>
          </w:pPr>
        </w:p>
      </w:tc>
      <w:tc>
        <w:tcPr>
          <w:tcW w:w="2552" w:type="dxa"/>
          <w:tcBorders>
            <w:top w:val="nil"/>
            <w:left w:val="nil"/>
            <w:bottom w:val="single" w:sz="4" w:space="0" w:color="auto"/>
            <w:right w:val="nil"/>
          </w:tcBorders>
        </w:tcPr>
        <w:p w:rsidR="00FD5712" w:rsidRPr="00983F5B" w:rsidRDefault="00FD571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for review:</w:t>
          </w:r>
        </w:p>
      </w:tc>
      <w:tc>
        <w:tcPr>
          <w:tcW w:w="2552" w:type="dxa"/>
          <w:tcBorders>
            <w:top w:val="nil"/>
            <w:left w:val="nil"/>
            <w:bottom w:val="single" w:sz="4" w:space="0" w:color="auto"/>
            <w:right w:val="single" w:sz="4" w:space="0" w:color="auto"/>
          </w:tcBorders>
        </w:tcPr>
        <w:p w:rsidR="00FD5712" w:rsidRPr="00EB39EE" w:rsidRDefault="00FD5712" w:rsidP="00E43F4A">
          <w:pPr>
            <w:pStyle w:val="Header"/>
            <w:spacing w:before="40" w:after="40" w:line="240" w:lineRule="auto"/>
            <w:rPr>
              <w:rFonts w:ascii="Century Gothic" w:hAnsi="Century Gothic"/>
              <w:sz w:val="16"/>
              <w:szCs w:val="16"/>
              <w:lang w:val="en-GB"/>
            </w:rPr>
          </w:pPr>
        </w:p>
      </w:tc>
    </w:tr>
  </w:tbl>
  <w:p w:rsidR="00E211A0" w:rsidRPr="00022DB9" w:rsidRDefault="00E211A0" w:rsidP="00D219C6">
    <w:pPr>
      <w:pStyle w:val="Header"/>
      <w:rPr>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B9" w:rsidRPr="00022DB9" w:rsidRDefault="00022DB9">
    <w:pPr>
      <w:rPr>
        <w:sz w:val="20"/>
      </w:rPr>
    </w:pPr>
    <w:r w:rsidRPr="00022DB9">
      <w:rPr>
        <w:sz w:val="20"/>
      </w:rPr>
      <mc:AlternateContent>
        <mc:Choice Requires="wps">
          <w:drawing>
            <wp:anchor distT="0" distB="0" distL="114300" distR="114300" simplePos="0" relativeHeight="251663360" behindDoc="0" locked="0" layoutInCell="1" allowOverlap="1" wp14:anchorId="1CEF6FFF" wp14:editId="28A84B20">
              <wp:simplePos x="0" y="0"/>
              <wp:positionH relativeFrom="margin">
                <wp:posOffset>2942590</wp:posOffset>
              </wp:positionH>
              <wp:positionV relativeFrom="paragraph">
                <wp:posOffset>-96520</wp:posOffset>
              </wp:positionV>
              <wp:extent cx="3067050" cy="52514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DB9" w:rsidRDefault="00022DB9" w:rsidP="00022DB9">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31.7pt;margin-top:-7.6pt;width:241.5pt;height:4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Vygw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" stroked="f">
              <v:textbox>
                <w:txbxContent>
                  <w:p w:rsidR="00022DB9" w:rsidRDefault="00022DB9" w:rsidP="00022DB9">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r w:rsidRPr="00022DB9">
      <w:rPr>
        <w:sz w:val="20"/>
      </w:rPr>
      <w:drawing>
        <wp:anchor distT="0" distB="0" distL="114300" distR="114300" simplePos="0" relativeHeight="251662336" behindDoc="0" locked="0" layoutInCell="1" allowOverlap="1" wp14:anchorId="5D1FFD22" wp14:editId="2F3EF2A5">
          <wp:simplePos x="0" y="0"/>
          <wp:positionH relativeFrom="margin">
            <wp:posOffset>-517525</wp:posOffset>
          </wp:positionH>
          <wp:positionV relativeFrom="margin">
            <wp:posOffset>-1882140</wp:posOffset>
          </wp:positionV>
          <wp:extent cx="1520190" cy="734695"/>
          <wp:effectExtent l="0" t="0" r="3810" b="8255"/>
          <wp:wrapSquare wrapText="bothSides"/>
          <wp:docPr id="4" name="Picture 4"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p>
  <w:p w:rsidR="00022DB9" w:rsidRPr="00022DB9" w:rsidRDefault="00022DB9">
    <w:pPr>
      <w:rPr>
        <w:sz w:val="20"/>
      </w:rPr>
    </w:pPr>
  </w:p>
  <w:p w:rsidR="00022DB9" w:rsidRPr="00022DB9" w:rsidRDefault="00022DB9">
    <w:pPr>
      <w:rPr>
        <w:sz w:val="20"/>
      </w:rPr>
    </w:pPr>
  </w:p>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515D26" w:rsidRPr="00FB0AA3" w:rsidTr="00FB0AA3">
      <w:trPr>
        <w:trHeight w:val="293"/>
        <w:jc w:val="center"/>
      </w:trPr>
      <w:tc>
        <w:tcPr>
          <w:tcW w:w="10207" w:type="dxa"/>
          <w:gridSpan w:val="4"/>
          <w:shd w:val="clear" w:color="auto" w:fill="000000" w:themeFill="text1"/>
        </w:tcPr>
        <w:p w:rsidR="00515D26" w:rsidRPr="00405ACC" w:rsidRDefault="00515D26" w:rsidP="00405ACC">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405ACC">
            <w:rPr>
              <w:rFonts w:ascii="Century Gothic" w:hAnsi="Century Gothic" w:cs="Arial"/>
              <w:smallCaps/>
              <w:color w:val="FFFFFF" w:themeColor="background1"/>
              <w:sz w:val="24"/>
              <w:szCs w:val="24"/>
              <w:lang w:val="en-GB"/>
            </w:rPr>
            <w:t>Microbiology Standard Operating Procedure</w:t>
          </w:r>
        </w:p>
      </w:tc>
    </w:tr>
    <w:tr w:rsidR="00515D26" w:rsidRPr="00FB0AA3" w:rsidTr="00515D26">
      <w:trPr>
        <w:trHeight w:val="292"/>
        <w:jc w:val="center"/>
      </w:trPr>
      <w:tc>
        <w:tcPr>
          <w:tcW w:w="10207" w:type="dxa"/>
          <w:gridSpan w:val="4"/>
          <w:tcBorders>
            <w:bottom w:val="single" w:sz="4" w:space="0" w:color="auto"/>
          </w:tcBorders>
        </w:tcPr>
        <w:p w:rsidR="00515D26" w:rsidRPr="00405ACC" w:rsidRDefault="00A47A0F" w:rsidP="00222655">
          <w:pPr>
            <w:pStyle w:val="HeaderEven"/>
            <w:pBdr>
              <w:bottom w:val="none" w:sz="0" w:space="0" w:color="auto"/>
            </w:pBdr>
            <w:spacing w:beforeLines="40" w:before="96" w:afterLines="40" w:after="96"/>
            <w:jc w:val="center"/>
            <w:rPr>
              <w:rFonts w:ascii="Century Gothic" w:hAnsi="Century Gothic" w:cs="Arial"/>
              <w:smallCaps/>
              <w:color w:val="auto"/>
              <w:lang w:val="en-GB"/>
            </w:rPr>
          </w:pPr>
          <w:r>
            <w:rPr>
              <w:rFonts w:ascii="Century Gothic" w:eastAsia="Times New Roman" w:hAnsi="Century Gothic" w:cs="Arial"/>
              <w:smallCaps/>
              <w:color w:val="auto"/>
              <w:sz w:val="24"/>
              <w:szCs w:val="24"/>
              <w:lang w:val="en-GB"/>
            </w:rPr>
            <w:t xml:space="preserve">Culture of </w:t>
          </w:r>
          <w:r w:rsidR="00222655">
            <w:rPr>
              <w:rFonts w:ascii="Century Gothic" w:eastAsia="Times New Roman" w:hAnsi="Century Gothic" w:cs="Arial"/>
              <w:smallCaps/>
              <w:color w:val="auto"/>
              <w:sz w:val="24"/>
              <w:szCs w:val="24"/>
              <w:lang w:val="en-GB"/>
            </w:rPr>
            <w:t>blood</w:t>
          </w:r>
        </w:p>
      </w:tc>
    </w:tr>
    <w:tr w:rsidR="00515D26" w:rsidRPr="00FB0AA3" w:rsidTr="00515D26">
      <w:trPr>
        <w:jc w:val="center"/>
      </w:trPr>
      <w:tc>
        <w:tcPr>
          <w:tcW w:w="2551" w:type="dxa"/>
          <w:tcBorders>
            <w:top w:val="single" w:sz="4" w:space="0" w:color="auto"/>
            <w:left w:val="single" w:sz="4" w:space="0" w:color="auto"/>
            <w:bottom w:val="single" w:sz="4" w:space="0" w:color="auto"/>
            <w:right w:val="nil"/>
          </w:tcBorders>
        </w:tcPr>
        <w:p w:rsidR="00515D26" w:rsidRPr="00D219C6" w:rsidRDefault="00515D26" w:rsidP="005551B7">
          <w:pPr>
            <w:pStyle w:val="Header"/>
            <w:spacing w:before="40" w:after="40" w:line="240" w:lineRule="auto"/>
            <w:rPr>
              <w:rFonts w:ascii="Century Gothic" w:hAnsi="Century Gothic"/>
              <w:sz w:val="16"/>
              <w:szCs w:val="16"/>
            </w:rPr>
          </w:pPr>
          <w:r w:rsidRPr="00D219C6">
            <w:rPr>
              <w:rFonts w:ascii="Century Gothic" w:hAnsi="Century Gothic"/>
              <w:sz w:val="16"/>
              <w:szCs w:val="16"/>
            </w:rPr>
            <w:t>Document number / version:</w:t>
          </w:r>
        </w:p>
      </w:tc>
      <w:tc>
        <w:tcPr>
          <w:tcW w:w="2552" w:type="dxa"/>
          <w:tcBorders>
            <w:top w:val="single" w:sz="4" w:space="0" w:color="auto"/>
            <w:left w:val="nil"/>
            <w:bottom w:val="single" w:sz="4" w:space="0" w:color="auto"/>
            <w:right w:val="nil"/>
          </w:tcBorders>
        </w:tcPr>
        <w:p w:rsidR="00515D26" w:rsidRPr="00D219C6" w:rsidRDefault="00515D26" w:rsidP="005551B7">
          <w:pPr>
            <w:pStyle w:val="Header"/>
            <w:spacing w:before="40" w:after="40" w:line="240" w:lineRule="auto"/>
            <w:rPr>
              <w:rFonts w:ascii="Century Gothic" w:hAnsi="Century Gothic"/>
              <w:sz w:val="16"/>
              <w:szCs w:val="16"/>
            </w:rPr>
          </w:pPr>
        </w:p>
      </w:tc>
      <w:tc>
        <w:tcPr>
          <w:tcW w:w="2552" w:type="dxa"/>
          <w:tcBorders>
            <w:top w:val="single" w:sz="4" w:space="0" w:color="auto"/>
            <w:left w:val="nil"/>
            <w:bottom w:val="single" w:sz="4" w:space="0" w:color="auto"/>
            <w:right w:val="nil"/>
          </w:tcBorders>
        </w:tcPr>
        <w:p w:rsidR="00515D26" w:rsidRPr="00D219C6" w:rsidRDefault="00515D26" w:rsidP="005551B7">
          <w:pPr>
            <w:pStyle w:val="Header"/>
            <w:spacing w:before="40" w:after="40" w:line="240" w:lineRule="auto"/>
            <w:rPr>
              <w:rFonts w:ascii="Century Gothic" w:hAnsi="Century Gothic"/>
              <w:sz w:val="16"/>
              <w:szCs w:val="16"/>
            </w:rPr>
          </w:pPr>
        </w:p>
      </w:tc>
      <w:tc>
        <w:tcPr>
          <w:tcW w:w="2552" w:type="dxa"/>
          <w:tcBorders>
            <w:top w:val="single" w:sz="4" w:space="0" w:color="auto"/>
            <w:left w:val="nil"/>
            <w:bottom w:val="single" w:sz="4" w:space="0" w:color="auto"/>
            <w:right w:val="single" w:sz="4" w:space="0" w:color="auto"/>
          </w:tcBorders>
        </w:tcPr>
        <w:p w:rsidR="00515D26" w:rsidRPr="00D219C6" w:rsidRDefault="00515D26" w:rsidP="005551B7">
          <w:pPr>
            <w:pStyle w:val="Header"/>
            <w:spacing w:before="40" w:after="40" w:line="240" w:lineRule="auto"/>
            <w:rPr>
              <w:rFonts w:ascii="Century Gothic" w:hAnsi="Century Gothic"/>
              <w:sz w:val="16"/>
              <w:szCs w:val="16"/>
            </w:rPr>
          </w:pPr>
        </w:p>
      </w:tc>
    </w:tr>
  </w:tbl>
  <w:p w:rsidR="00515D26" w:rsidRPr="00022DB9" w:rsidRDefault="00515D26" w:rsidP="00D219C6">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94B"/>
    <w:multiLevelType w:val="hybridMultilevel"/>
    <w:tmpl w:val="ECAA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52C49"/>
    <w:multiLevelType w:val="hybridMultilevel"/>
    <w:tmpl w:val="427618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82C372E"/>
    <w:multiLevelType w:val="hybridMultilevel"/>
    <w:tmpl w:val="4A3A2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F30CBE"/>
    <w:multiLevelType w:val="hybridMultilevel"/>
    <w:tmpl w:val="10D8A2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0B4B62A1"/>
    <w:multiLevelType w:val="hybridMultilevel"/>
    <w:tmpl w:val="E61A2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D05D76"/>
    <w:multiLevelType w:val="hybridMultilevel"/>
    <w:tmpl w:val="8BAE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E20A97"/>
    <w:multiLevelType w:val="hybridMultilevel"/>
    <w:tmpl w:val="F5CEA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3337FE"/>
    <w:multiLevelType w:val="multilevel"/>
    <w:tmpl w:val="569890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15592708"/>
    <w:multiLevelType w:val="hybridMultilevel"/>
    <w:tmpl w:val="4F781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16D09FC"/>
    <w:multiLevelType w:val="hybridMultilevel"/>
    <w:tmpl w:val="549C5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663ECA"/>
    <w:multiLevelType w:val="hybridMultilevel"/>
    <w:tmpl w:val="1ED07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F46B73"/>
    <w:multiLevelType w:val="hybridMultilevel"/>
    <w:tmpl w:val="D9A4E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5D2322"/>
    <w:multiLevelType w:val="hybridMultilevel"/>
    <w:tmpl w:val="2AD0EA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3AA80478"/>
    <w:multiLevelType w:val="hybridMultilevel"/>
    <w:tmpl w:val="62F831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40E844B9"/>
    <w:multiLevelType w:val="hybridMultilevel"/>
    <w:tmpl w:val="7AFA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B2151D"/>
    <w:multiLevelType w:val="hybridMultilevel"/>
    <w:tmpl w:val="6B10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4A20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BF374EC"/>
    <w:multiLevelType w:val="hybridMultilevel"/>
    <w:tmpl w:val="057CC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4B416E"/>
    <w:multiLevelType w:val="hybridMultilevel"/>
    <w:tmpl w:val="971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C315F5"/>
    <w:multiLevelType w:val="hybridMultilevel"/>
    <w:tmpl w:val="1F04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061A17"/>
    <w:multiLevelType w:val="hybridMultilevel"/>
    <w:tmpl w:val="3D4AA61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F95E75"/>
    <w:multiLevelType w:val="hybridMultilevel"/>
    <w:tmpl w:val="F01E5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6FC2D25"/>
    <w:multiLevelType w:val="hybridMultilevel"/>
    <w:tmpl w:val="2222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E13A35"/>
    <w:multiLevelType w:val="hybridMultilevel"/>
    <w:tmpl w:val="9C784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5B0FC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D76601E"/>
    <w:multiLevelType w:val="hybridMultilevel"/>
    <w:tmpl w:val="74D8DCA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7"/>
  </w:num>
  <w:num w:numId="5">
    <w:abstractNumId w:val="23"/>
  </w:num>
  <w:num w:numId="6">
    <w:abstractNumId w:val="16"/>
  </w:num>
  <w:num w:numId="7">
    <w:abstractNumId w:val="25"/>
  </w:num>
  <w:num w:numId="8">
    <w:abstractNumId w:val="5"/>
  </w:num>
  <w:num w:numId="9">
    <w:abstractNumId w:val="8"/>
  </w:num>
  <w:num w:numId="10">
    <w:abstractNumId w:val="4"/>
  </w:num>
  <w:num w:numId="11">
    <w:abstractNumId w:val="20"/>
  </w:num>
  <w:num w:numId="12">
    <w:abstractNumId w:val="22"/>
  </w:num>
  <w:num w:numId="13">
    <w:abstractNumId w:val="3"/>
  </w:num>
  <w:num w:numId="14">
    <w:abstractNumId w:val="15"/>
  </w:num>
  <w:num w:numId="15">
    <w:abstractNumId w:val="12"/>
  </w:num>
  <w:num w:numId="16">
    <w:abstractNumId w:val="24"/>
  </w:num>
  <w:num w:numId="17">
    <w:abstractNumId w:val="21"/>
  </w:num>
  <w:num w:numId="18">
    <w:abstractNumId w:val="10"/>
  </w:num>
  <w:num w:numId="19">
    <w:abstractNumId w:val="1"/>
  </w:num>
  <w:num w:numId="20">
    <w:abstractNumId w:val="13"/>
  </w:num>
  <w:num w:numId="21">
    <w:abstractNumId w:val="9"/>
  </w:num>
  <w:num w:numId="22">
    <w:abstractNumId w:val="14"/>
  </w:num>
  <w:num w:numId="23">
    <w:abstractNumId w:val="11"/>
  </w:num>
  <w:num w:numId="24">
    <w:abstractNumId w:val="19"/>
  </w:num>
  <w:num w:numId="25">
    <w:abstractNumId w:val="6"/>
  </w:num>
  <w:num w:numId="26">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12"/>
    <w:rsid w:val="00022DB9"/>
    <w:rsid w:val="0003682A"/>
    <w:rsid w:val="00037FFC"/>
    <w:rsid w:val="00050523"/>
    <w:rsid w:val="00052E0B"/>
    <w:rsid w:val="0006065D"/>
    <w:rsid w:val="00061722"/>
    <w:rsid w:val="00070AE6"/>
    <w:rsid w:val="000760CE"/>
    <w:rsid w:val="00093BA1"/>
    <w:rsid w:val="000C0E7D"/>
    <w:rsid w:val="000D2BED"/>
    <w:rsid w:val="000D7864"/>
    <w:rsid w:val="000E42C8"/>
    <w:rsid w:val="000F2935"/>
    <w:rsid w:val="000F6C11"/>
    <w:rsid w:val="00104183"/>
    <w:rsid w:val="00111502"/>
    <w:rsid w:val="001318FC"/>
    <w:rsid w:val="0013305D"/>
    <w:rsid w:val="00135CD7"/>
    <w:rsid w:val="00137DD7"/>
    <w:rsid w:val="001416B4"/>
    <w:rsid w:val="001541D0"/>
    <w:rsid w:val="00155726"/>
    <w:rsid w:val="001622B7"/>
    <w:rsid w:val="001636AF"/>
    <w:rsid w:val="00163FDD"/>
    <w:rsid w:val="00165CAB"/>
    <w:rsid w:val="001844CA"/>
    <w:rsid w:val="001B1A3E"/>
    <w:rsid w:val="001B2E44"/>
    <w:rsid w:val="001C0D5D"/>
    <w:rsid w:val="001C12FA"/>
    <w:rsid w:val="001C5564"/>
    <w:rsid w:val="001C78DD"/>
    <w:rsid w:val="001D3069"/>
    <w:rsid w:val="001D6CA5"/>
    <w:rsid w:val="001E1CF0"/>
    <w:rsid w:val="001E383F"/>
    <w:rsid w:val="001F1FEE"/>
    <w:rsid w:val="001F53DE"/>
    <w:rsid w:val="00205001"/>
    <w:rsid w:val="002137CC"/>
    <w:rsid w:val="00220450"/>
    <w:rsid w:val="002207D4"/>
    <w:rsid w:val="00222655"/>
    <w:rsid w:val="00222C33"/>
    <w:rsid w:val="002378B2"/>
    <w:rsid w:val="0025785F"/>
    <w:rsid w:val="00262CF1"/>
    <w:rsid w:val="002639AD"/>
    <w:rsid w:val="002720F6"/>
    <w:rsid w:val="00273D46"/>
    <w:rsid w:val="00287235"/>
    <w:rsid w:val="002A0619"/>
    <w:rsid w:val="002B0540"/>
    <w:rsid w:val="002B381C"/>
    <w:rsid w:val="002C3D24"/>
    <w:rsid w:val="002E454D"/>
    <w:rsid w:val="002E4C34"/>
    <w:rsid w:val="002F06D7"/>
    <w:rsid w:val="00314692"/>
    <w:rsid w:val="003328FA"/>
    <w:rsid w:val="003403D8"/>
    <w:rsid w:val="00342E28"/>
    <w:rsid w:val="00374FCE"/>
    <w:rsid w:val="003767D9"/>
    <w:rsid w:val="003A7A8A"/>
    <w:rsid w:val="003D75C0"/>
    <w:rsid w:val="003E203F"/>
    <w:rsid w:val="003E3668"/>
    <w:rsid w:val="00405ACC"/>
    <w:rsid w:val="00427502"/>
    <w:rsid w:val="00430CFE"/>
    <w:rsid w:val="00445588"/>
    <w:rsid w:val="00472CD1"/>
    <w:rsid w:val="00477C4D"/>
    <w:rsid w:val="00491B67"/>
    <w:rsid w:val="004927F0"/>
    <w:rsid w:val="004A2D57"/>
    <w:rsid w:val="004A35E6"/>
    <w:rsid w:val="004A37C2"/>
    <w:rsid w:val="004B5F42"/>
    <w:rsid w:val="004C4C4B"/>
    <w:rsid w:val="004C61F8"/>
    <w:rsid w:val="004C68C1"/>
    <w:rsid w:val="00506358"/>
    <w:rsid w:val="005077E3"/>
    <w:rsid w:val="00515D26"/>
    <w:rsid w:val="00520960"/>
    <w:rsid w:val="00525B65"/>
    <w:rsid w:val="00541B58"/>
    <w:rsid w:val="00550AD1"/>
    <w:rsid w:val="005544A3"/>
    <w:rsid w:val="005551B7"/>
    <w:rsid w:val="00580336"/>
    <w:rsid w:val="005A1B55"/>
    <w:rsid w:val="005B251F"/>
    <w:rsid w:val="005C3BF6"/>
    <w:rsid w:val="005E02C6"/>
    <w:rsid w:val="005E2910"/>
    <w:rsid w:val="005E2D38"/>
    <w:rsid w:val="00607BC3"/>
    <w:rsid w:val="00632989"/>
    <w:rsid w:val="0065174C"/>
    <w:rsid w:val="00651DFA"/>
    <w:rsid w:val="006538C8"/>
    <w:rsid w:val="006C1DB9"/>
    <w:rsid w:val="006C4703"/>
    <w:rsid w:val="006C64AF"/>
    <w:rsid w:val="006D6F46"/>
    <w:rsid w:val="006E5878"/>
    <w:rsid w:val="0072292D"/>
    <w:rsid w:val="00722C9A"/>
    <w:rsid w:val="00726755"/>
    <w:rsid w:val="0073622C"/>
    <w:rsid w:val="00736DAA"/>
    <w:rsid w:val="00742CE0"/>
    <w:rsid w:val="00744DD1"/>
    <w:rsid w:val="00747D2E"/>
    <w:rsid w:val="00755AD3"/>
    <w:rsid w:val="0075617E"/>
    <w:rsid w:val="0078032C"/>
    <w:rsid w:val="00783AF6"/>
    <w:rsid w:val="00785AC0"/>
    <w:rsid w:val="00797C0E"/>
    <w:rsid w:val="007A6887"/>
    <w:rsid w:val="007B1FB8"/>
    <w:rsid w:val="007C4674"/>
    <w:rsid w:val="007C7203"/>
    <w:rsid w:val="007C7A94"/>
    <w:rsid w:val="007D1756"/>
    <w:rsid w:val="007F2718"/>
    <w:rsid w:val="0080500D"/>
    <w:rsid w:val="0081460A"/>
    <w:rsid w:val="008166E6"/>
    <w:rsid w:val="0082089B"/>
    <w:rsid w:val="00827B5D"/>
    <w:rsid w:val="00831B07"/>
    <w:rsid w:val="0084638E"/>
    <w:rsid w:val="00872110"/>
    <w:rsid w:val="0089285A"/>
    <w:rsid w:val="008957CB"/>
    <w:rsid w:val="008A102D"/>
    <w:rsid w:val="008A6CEE"/>
    <w:rsid w:val="008B0EF9"/>
    <w:rsid w:val="008E5800"/>
    <w:rsid w:val="008E6A1F"/>
    <w:rsid w:val="008F1617"/>
    <w:rsid w:val="008F61D3"/>
    <w:rsid w:val="00912418"/>
    <w:rsid w:val="00922F74"/>
    <w:rsid w:val="00924A58"/>
    <w:rsid w:val="0092723F"/>
    <w:rsid w:val="00935C33"/>
    <w:rsid w:val="009371B1"/>
    <w:rsid w:val="00960FDF"/>
    <w:rsid w:val="00983F5B"/>
    <w:rsid w:val="009914D3"/>
    <w:rsid w:val="00993F92"/>
    <w:rsid w:val="00995876"/>
    <w:rsid w:val="009B3C1E"/>
    <w:rsid w:val="009C3E57"/>
    <w:rsid w:val="009C6903"/>
    <w:rsid w:val="009E05EB"/>
    <w:rsid w:val="009E09F2"/>
    <w:rsid w:val="009E0BD9"/>
    <w:rsid w:val="009E56D7"/>
    <w:rsid w:val="009F1B07"/>
    <w:rsid w:val="009F1BFD"/>
    <w:rsid w:val="009F789F"/>
    <w:rsid w:val="00A16B27"/>
    <w:rsid w:val="00A254A7"/>
    <w:rsid w:val="00A2682E"/>
    <w:rsid w:val="00A47A0F"/>
    <w:rsid w:val="00A53E7A"/>
    <w:rsid w:val="00A77A6A"/>
    <w:rsid w:val="00A8312D"/>
    <w:rsid w:val="00AB52D9"/>
    <w:rsid w:val="00AB694E"/>
    <w:rsid w:val="00AD588F"/>
    <w:rsid w:val="00AD5A01"/>
    <w:rsid w:val="00AD601A"/>
    <w:rsid w:val="00AE2510"/>
    <w:rsid w:val="00AE5F3A"/>
    <w:rsid w:val="00AF12A5"/>
    <w:rsid w:val="00AF160A"/>
    <w:rsid w:val="00B005CB"/>
    <w:rsid w:val="00B00ECA"/>
    <w:rsid w:val="00B1397E"/>
    <w:rsid w:val="00B25A72"/>
    <w:rsid w:val="00B424F6"/>
    <w:rsid w:val="00B46F3F"/>
    <w:rsid w:val="00B537CE"/>
    <w:rsid w:val="00B62444"/>
    <w:rsid w:val="00B62F56"/>
    <w:rsid w:val="00B649F2"/>
    <w:rsid w:val="00B83471"/>
    <w:rsid w:val="00B867F2"/>
    <w:rsid w:val="00B9151B"/>
    <w:rsid w:val="00B9205A"/>
    <w:rsid w:val="00BA6835"/>
    <w:rsid w:val="00BA79B5"/>
    <w:rsid w:val="00BB34D4"/>
    <w:rsid w:val="00BB6627"/>
    <w:rsid w:val="00BB6996"/>
    <w:rsid w:val="00BC2277"/>
    <w:rsid w:val="00BE36AF"/>
    <w:rsid w:val="00BE70AE"/>
    <w:rsid w:val="00BE7408"/>
    <w:rsid w:val="00BF4A7B"/>
    <w:rsid w:val="00C00018"/>
    <w:rsid w:val="00C1672F"/>
    <w:rsid w:val="00C356FF"/>
    <w:rsid w:val="00C42B46"/>
    <w:rsid w:val="00C70106"/>
    <w:rsid w:val="00C722E9"/>
    <w:rsid w:val="00C744A7"/>
    <w:rsid w:val="00C74ED4"/>
    <w:rsid w:val="00C76BBB"/>
    <w:rsid w:val="00C77F65"/>
    <w:rsid w:val="00C8267C"/>
    <w:rsid w:val="00C8635F"/>
    <w:rsid w:val="00C96A91"/>
    <w:rsid w:val="00CB272A"/>
    <w:rsid w:val="00CD298A"/>
    <w:rsid w:val="00CE0DAA"/>
    <w:rsid w:val="00CE139C"/>
    <w:rsid w:val="00CE182A"/>
    <w:rsid w:val="00D023B5"/>
    <w:rsid w:val="00D12562"/>
    <w:rsid w:val="00D219C6"/>
    <w:rsid w:val="00D24538"/>
    <w:rsid w:val="00D31D48"/>
    <w:rsid w:val="00D33D8C"/>
    <w:rsid w:val="00D35992"/>
    <w:rsid w:val="00D36001"/>
    <w:rsid w:val="00D5009E"/>
    <w:rsid w:val="00D513AA"/>
    <w:rsid w:val="00D712A8"/>
    <w:rsid w:val="00D7649D"/>
    <w:rsid w:val="00D863FC"/>
    <w:rsid w:val="00D93B2C"/>
    <w:rsid w:val="00DB76DC"/>
    <w:rsid w:val="00DC5A51"/>
    <w:rsid w:val="00DD0470"/>
    <w:rsid w:val="00DD7693"/>
    <w:rsid w:val="00E00F1A"/>
    <w:rsid w:val="00E065D7"/>
    <w:rsid w:val="00E211A0"/>
    <w:rsid w:val="00E22FFC"/>
    <w:rsid w:val="00E262E5"/>
    <w:rsid w:val="00E26FA7"/>
    <w:rsid w:val="00E303D4"/>
    <w:rsid w:val="00E33B1E"/>
    <w:rsid w:val="00E35181"/>
    <w:rsid w:val="00E4097D"/>
    <w:rsid w:val="00E40BB2"/>
    <w:rsid w:val="00E45F25"/>
    <w:rsid w:val="00E47BDE"/>
    <w:rsid w:val="00E50BF5"/>
    <w:rsid w:val="00E53E3C"/>
    <w:rsid w:val="00E65C0B"/>
    <w:rsid w:val="00E73FFE"/>
    <w:rsid w:val="00E770E0"/>
    <w:rsid w:val="00E8035A"/>
    <w:rsid w:val="00E96D99"/>
    <w:rsid w:val="00EA14CC"/>
    <w:rsid w:val="00EA1783"/>
    <w:rsid w:val="00EC4233"/>
    <w:rsid w:val="00ED071C"/>
    <w:rsid w:val="00ED1662"/>
    <w:rsid w:val="00ED1ABE"/>
    <w:rsid w:val="00EE5979"/>
    <w:rsid w:val="00EF0D32"/>
    <w:rsid w:val="00EF0F49"/>
    <w:rsid w:val="00EF2949"/>
    <w:rsid w:val="00F20F73"/>
    <w:rsid w:val="00F306FC"/>
    <w:rsid w:val="00F3273D"/>
    <w:rsid w:val="00F3392A"/>
    <w:rsid w:val="00F3705A"/>
    <w:rsid w:val="00F92AC0"/>
    <w:rsid w:val="00F92ACC"/>
    <w:rsid w:val="00FA4727"/>
    <w:rsid w:val="00FB0AA3"/>
    <w:rsid w:val="00FB51CD"/>
    <w:rsid w:val="00FC759D"/>
    <w:rsid w:val="00FD1DC0"/>
    <w:rsid w:val="00FD4A1B"/>
    <w:rsid w:val="00FD5712"/>
    <w:rsid w:val="00FF73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Hyperlink" w:uiPriority="99"/>
    <w:lsdException w:name="Strong" w:uiPriority="22" w:qFormat="1"/>
    <w:lsdException w:name="annotation subject" w:uiPriority="99"/>
    <w:lsdException w:name="No List" w:uiPriority="99"/>
    <w:lsdException w:name="Outline List 2"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ind w:left="431" w:hanging="431"/>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uiPriority w:val="59"/>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uiPriority w:val="99"/>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uiPriority w:val="22"/>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 w:type="character" w:customStyle="1" w:styleId="HeaderChar">
    <w:name w:val="Header Char"/>
    <w:basedOn w:val="DefaultParagraphFont"/>
    <w:link w:val="Header"/>
    <w:uiPriority w:val="99"/>
    <w:rsid w:val="0081460A"/>
    <w:rPr>
      <w:rFonts w:ascii="Arial Narrow" w:hAnsi="Arial Narrow" w:cs="Arial"/>
      <w:sz w:val="24"/>
      <w:lang w:val="en-US" w:eastAsia="en-US"/>
    </w:rPr>
  </w:style>
  <w:style w:type="numbering" w:styleId="111111">
    <w:name w:val="Outline List 2"/>
    <w:basedOn w:val="NoList"/>
    <w:uiPriority w:val="99"/>
    <w:unhideWhenUsed/>
    <w:rsid w:val="0081460A"/>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Hyperlink" w:uiPriority="99"/>
    <w:lsdException w:name="Strong" w:uiPriority="22" w:qFormat="1"/>
    <w:lsdException w:name="annotation subject" w:uiPriority="99"/>
    <w:lsdException w:name="No List" w:uiPriority="99"/>
    <w:lsdException w:name="Outline List 2"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ind w:left="431" w:hanging="431"/>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uiPriority w:val="59"/>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uiPriority w:val="99"/>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uiPriority w:val="22"/>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 w:type="character" w:customStyle="1" w:styleId="HeaderChar">
    <w:name w:val="Header Char"/>
    <w:basedOn w:val="DefaultParagraphFont"/>
    <w:link w:val="Header"/>
    <w:uiPriority w:val="99"/>
    <w:rsid w:val="0081460A"/>
    <w:rPr>
      <w:rFonts w:ascii="Arial Narrow" w:hAnsi="Arial Narrow" w:cs="Arial"/>
      <w:sz w:val="24"/>
      <w:lang w:val="en-US" w:eastAsia="en-US"/>
    </w:rPr>
  </w:style>
  <w:style w:type="numbering" w:styleId="111111">
    <w:name w:val="Outline List 2"/>
    <w:basedOn w:val="NoList"/>
    <w:uiPriority w:val="99"/>
    <w:unhideWhenUsed/>
    <w:rsid w:val="0081460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83916">
      <w:bodyDiv w:val="1"/>
      <w:marLeft w:val="0"/>
      <w:marRight w:val="0"/>
      <w:marTop w:val="0"/>
      <w:marBottom w:val="0"/>
      <w:divBdr>
        <w:top w:val="none" w:sz="0" w:space="0" w:color="auto"/>
        <w:left w:val="none" w:sz="0" w:space="0" w:color="auto"/>
        <w:bottom w:val="none" w:sz="0" w:space="0" w:color="auto"/>
        <w:right w:val="none" w:sz="0" w:space="0" w:color="auto"/>
      </w:divBdr>
      <w:divsChild>
        <w:div w:id="2064865871">
          <w:marLeft w:val="0"/>
          <w:marRight w:val="0"/>
          <w:marTop w:val="0"/>
          <w:marBottom w:val="0"/>
          <w:divBdr>
            <w:top w:val="none" w:sz="0" w:space="0" w:color="auto"/>
            <w:left w:val="none" w:sz="0" w:space="0" w:color="auto"/>
            <w:bottom w:val="none" w:sz="0" w:space="0" w:color="auto"/>
            <w:right w:val="none" w:sz="0" w:space="0" w:color="auto"/>
          </w:divBdr>
          <w:divsChild>
            <w:div w:id="122891135">
              <w:marLeft w:val="0"/>
              <w:marRight w:val="0"/>
              <w:marTop w:val="0"/>
              <w:marBottom w:val="0"/>
              <w:divBdr>
                <w:top w:val="none" w:sz="0" w:space="0" w:color="auto"/>
                <w:left w:val="none" w:sz="0" w:space="0" w:color="auto"/>
                <w:bottom w:val="none" w:sz="0" w:space="0" w:color="auto"/>
                <w:right w:val="none" w:sz="0" w:space="0" w:color="auto"/>
              </w:divBdr>
            </w:div>
            <w:div w:id="7779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0390">
      <w:bodyDiv w:val="1"/>
      <w:marLeft w:val="0"/>
      <w:marRight w:val="0"/>
      <w:marTop w:val="0"/>
      <w:marBottom w:val="0"/>
      <w:divBdr>
        <w:top w:val="none" w:sz="0" w:space="0" w:color="auto"/>
        <w:left w:val="none" w:sz="0" w:space="0" w:color="auto"/>
        <w:bottom w:val="none" w:sz="0" w:space="0" w:color="auto"/>
        <w:right w:val="none" w:sz="0" w:space="0" w:color="auto"/>
      </w:divBdr>
      <w:divsChild>
        <w:div w:id="706609333">
          <w:marLeft w:val="0"/>
          <w:marRight w:val="0"/>
          <w:marTop w:val="0"/>
          <w:marBottom w:val="0"/>
          <w:divBdr>
            <w:top w:val="none" w:sz="0" w:space="0" w:color="auto"/>
            <w:left w:val="none" w:sz="0" w:space="0" w:color="auto"/>
            <w:bottom w:val="none" w:sz="0" w:space="0" w:color="auto"/>
            <w:right w:val="none" w:sz="0" w:space="0" w:color="auto"/>
          </w:divBdr>
          <w:divsChild>
            <w:div w:id="403988421">
              <w:marLeft w:val="0"/>
              <w:marRight w:val="0"/>
              <w:marTop w:val="0"/>
              <w:marBottom w:val="0"/>
              <w:divBdr>
                <w:top w:val="none" w:sz="0" w:space="0" w:color="auto"/>
                <w:left w:val="none" w:sz="0" w:space="0" w:color="auto"/>
                <w:bottom w:val="none" w:sz="0" w:space="0" w:color="auto"/>
                <w:right w:val="none" w:sz="0" w:space="0" w:color="auto"/>
              </w:divBdr>
            </w:div>
            <w:div w:id="539130962">
              <w:marLeft w:val="0"/>
              <w:marRight w:val="0"/>
              <w:marTop w:val="0"/>
              <w:marBottom w:val="0"/>
              <w:divBdr>
                <w:top w:val="none" w:sz="0" w:space="0" w:color="auto"/>
                <w:left w:val="none" w:sz="0" w:space="0" w:color="auto"/>
                <w:bottom w:val="none" w:sz="0" w:space="0" w:color="auto"/>
                <w:right w:val="none" w:sz="0" w:space="0" w:color="auto"/>
              </w:divBdr>
            </w:div>
            <w:div w:id="819884695">
              <w:marLeft w:val="0"/>
              <w:marRight w:val="0"/>
              <w:marTop w:val="0"/>
              <w:marBottom w:val="0"/>
              <w:divBdr>
                <w:top w:val="none" w:sz="0" w:space="0" w:color="auto"/>
                <w:left w:val="none" w:sz="0" w:space="0" w:color="auto"/>
                <w:bottom w:val="none" w:sz="0" w:space="0" w:color="auto"/>
                <w:right w:val="none" w:sz="0" w:space="0" w:color="auto"/>
              </w:divBdr>
            </w:div>
            <w:div w:id="19637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0309">
      <w:bodyDiv w:val="1"/>
      <w:marLeft w:val="0"/>
      <w:marRight w:val="0"/>
      <w:marTop w:val="0"/>
      <w:marBottom w:val="0"/>
      <w:divBdr>
        <w:top w:val="none" w:sz="0" w:space="0" w:color="auto"/>
        <w:left w:val="none" w:sz="0" w:space="0" w:color="auto"/>
        <w:bottom w:val="none" w:sz="0" w:space="0" w:color="auto"/>
        <w:right w:val="none" w:sz="0" w:space="0" w:color="auto"/>
      </w:divBdr>
      <w:divsChild>
        <w:div w:id="1328442274">
          <w:marLeft w:val="0"/>
          <w:marRight w:val="0"/>
          <w:marTop w:val="0"/>
          <w:marBottom w:val="0"/>
          <w:divBdr>
            <w:top w:val="none" w:sz="0" w:space="0" w:color="auto"/>
            <w:left w:val="none" w:sz="0" w:space="0" w:color="auto"/>
            <w:bottom w:val="none" w:sz="0" w:space="0" w:color="auto"/>
            <w:right w:val="none" w:sz="0" w:space="0" w:color="auto"/>
          </w:divBdr>
          <w:divsChild>
            <w:div w:id="1048257898">
              <w:marLeft w:val="0"/>
              <w:marRight w:val="0"/>
              <w:marTop w:val="0"/>
              <w:marBottom w:val="0"/>
              <w:divBdr>
                <w:top w:val="none" w:sz="0" w:space="0" w:color="auto"/>
                <w:left w:val="none" w:sz="0" w:space="0" w:color="auto"/>
                <w:bottom w:val="none" w:sz="0" w:space="0" w:color="auto"/>
                <w:right w:val="none" w:sz="0" w:space="0" w:color="auto"/>
              </w:divBdr>
            </w:div>
            <w:div w:id="1762263407">
              <w:marLeft w:val="0"/>
              <w:marRight w:val="0"/>
              <w:marTop w:val="0"/>
              <w:marBottom w:val="0"/>
              <w:divBdr>
                <w:top w:val="none" w:sz="0" w:space="0" w:color="auto"/>
                <w:left w:val="none" w:sz="0" w:space="0" w:color="auto"/>
                <w:bottom w:val="none" w:sz="0" w:space="0" w:color="auto"/>
                <w:right w:val="none" w:sz="0" w:space="0" w:color="auto"/>
              </w:divBdr>
            </w:div>
            <w:div w:id="1831560452">
              <w:marLeft w:val="0"/>
              <w:marRight w:val="0"/>
              <w:marTop w:val="0"/>
              <w:marBottom w:val="0"/>
              <w:divBdr>
                <w:top w:val="none" w:sz="0" w:space="0" w:color="auto"/>
                <w:left w:val="none" w:sz="0" w:space="0" w:color="auto"/>
                <w:bottom w:val="none" w:sz="0" w:space="0" w:color="auto"/>
                <w:right w:val="none" w:sz="0" w:space="0" w:color="auto"/>
              </w:divBdr>
            </w:div>
            <w:div w:id="20294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3735">
      <w:bodyDiv w:val="1"/>
      <w:marLeft w:val="0"/>
      <w:marRight w:val="0"/>
      <w:marTop w:val="0"/>
      <w:marBottom w:val="0"/>
      <w:divBdr>
        <w:top w:val="none" w:sz="0" w:space="0" w:color="auto"/>
        <w:left w:val="none" w:sz="0" w:space="0" w:color="auto"/>
        <w:bottom w:val="none" w:sz="0" w:space="0" w:color="auto"/>
        <w:right w:val="none" w:sz="0" w:space="0" w:color="auto"/>
      </w:divBdr>
      <w:divsChild>
        <w:div w:id="1584997124">
          <w:marLeft w:val="0"/>
          <w:marRight w:val="0"/>
          <w:marTop w:val="0"/>
          <w:marBottom w:val="0"/>
          <w:divBdr>
            <w:top w:val="none" w:sz="0" w:space="0" w:color="auto"/>
            <w:left w:val="none" w:sz="0" w:space="0" w:color="auto"/>
            <w:bottom w:val="none" w:sz="0" w:space="0" w:color="auto"/>
            <w:right w:val="none" w:sz="0" w:space="0" w:color="auto"/>
          </w:divBdr>
          <w:divsChild>
            <w:div w:id="161900419">
              <w:marLeft w:val="0"/>
              <w:marRight w:val="0"/>
              <w:marTop w:val="0"/>
              <w:marBottom w:val="0"/>
              <w:divBdr>
                <w:top w:val="none" w:sz="0" w:space="0" w:color="auto"/>
                <w:left w:val="none" w:sz="0" w:space="0" w:color="auto"/>
                <w:bottom w:val="none" w:sz="0" w:space="0" w:color="auto"/>
                <w:right w:val="none" w:sz="0" w:space="0" w:color="auto"/>
              </w:divBdr>
            </w:div>
            <w:div w:id="262225860">
              <w:marLeft w:val="0"/>
              <w:marRight w:val="0"/>
              <w:marTop w:val="0"/>
              <w:marBottom w:val="0"/>
              <w:divBdr>
                <w:top w:val="none" w:sz="0" w:space="0" w:color="auto"/>
                <w:left w:val="none" w:sz="0" w:space="0" w:color="auto"/>
                <w:bottom w:val="none" w:sz="0" w:space="0" w:color="auto"/>
                <w:right w:val="none" w:sz="0" w:space="0" w:color="auto"/>
              </w:divBdr>
            </w:div>
            <w:div w:id="546575305">
              <w:marLeft w:val="0"/>
              <w:marRight w:val="0"/>
              <w:marTop w:val="0"/>
              <w:marBottom w:val="0"/>
              <w:divBdr>
                <w:top w:val="none" w:sz="0" w:space="0" w:color="auto"/>
                <w:left w:val="none" w:sz="0" w:space="0" w:color="auto"/>
                <w:bottom w:val="none" w:sz="0" w:space="0" w:color="auto"/>
                <w:right w:val="none" w:sz="0" w:space="0" w:color="auto"/>
              </w:divBdr>
            </w:div>
            <w:div w:id="1052122968">
              <w:marLeft w:val="0"/>
              <w:marRight w:val="0"/>
              <w:marTop w:val="0"/>
              <w:marBottom w:val="0"/>
              <w:divBdr>
                <w:top w:val="none" w:sz="0" w:space="0" w:color="auto"/>
                <w:left w:val="none" w:sz="0" w:space="0" w:color="auto"/>
                <w:bottom w:val="none" w:sz="0" w:space="0" w:color="auto"/>
                <w:right w:val="none" w:sz="0" w:space="0" w:color="auto"/>
              </w:divBdr>
            </w:div>
            <w:div w:id="10607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6658">
      <w:bodyDiv w:val="1"/>
      <w:marLeft w:val="0"/>
      <w:marRight w:val="0"/>
      <w:marTop w:val="0"/>
      <w:marBottom w:val="0"/>
      <w:divBdr>
        <w:top w:val="none" w:sz="0" w:space="0" w:color="auto"/>
        <w:left w:val="none" w:sz="0" w:space="0" w:color="auto"/>
        <w:bottom w:val="none" w:sz="0" w:space="0" w:color="auto"/>
        <w:right w:val="none" w:sz="0" w:space="0" w:color="auto"/>
      </w:divBdr>
      <w:divsChild>
        <w:div w:id="1833521691">
          <w:marLeft w:val="0"/>
          <w:marRight w:val="0"/>
          <w:marTop w:val="0"/>
          <w:marBottom w:val="0"/>
          <w:divBdr>
            <w:top w:val="none" w:sz="0" w:space="0" w:color="auto"/>
            <w:left w:val="none" w:sz="0" w:space="0" w:color="auto"/>
            <w:bottom w:val="none" w:sz="0" w:space="0" w:color="auto"/>
            <w:right w:val="none" w:sz="0" w:space="0" w:color="auto"/>
          </w:divBdr>
          <w:divsChild>
            <w:div w:id="282855187">
              <w:marLeft w:val="0"/>
              <w:marRight w:val="0"/>
              <w:marTop w:val="0"/>
              <w:marBottom w:val="0"/>
              <w:divBdr>
                <w:top w:val="none" w:sz="0" w:space="0" w:color="auto"/>
                <w:left w:val="none" w:sz="0" w:space="0" w:color="auto"/>
                <w:bottom w:val="none" w:sz="0" w:space="0" w:color="auto"/>
                <w:right w:val="none" w:sz="0" w:space="0" w:color="auto"/>
              </w:divBdr>
            </w:div>
            <w:div w:id="314770937">
              <w:marLeft w:val="0"/>
              <w:marRight w:val="0"/>
              <w:marTop w:val="0"/>
              <w:marBottom w:val="0"/>
              <w:divBdr>
                <w:top w:val="none" w:sz="0" w:space="0" w:color="auto"/>
                <w:left w:val="none" w:sz="0" w:space="0" w:color="auto"/>
                <w:bottom w:val="none" w:sz="0" w:space="0" w:color="auto"/>
                <w:right w:val="none" w:sz="0" w:space="0" w:color="auto"/>
              </w:divBdr>
            </w:div>
            <w:div w:id="555895689">
              <w:marLeft w:val="0"/>
              <w:marRight w:val="0"/>
              <w:marTop w:val="0"/>
              <w:marBottom w:val="0"/>
              <w:divBdr>
                <w:top w:val="none" w:sz="0" w:space="0" w:color="auto"/>
                <w:left w:val="none" w:sz="0" w:space="0" w:color="auto"/>
                <w:bottom w:val="none" w:sz="0" w:space="0" w:color="auto"/>
                <w:right w:val="none" w:sz="0" w:space="0" w:color="auto"/>
              </w:divBdr>
            </w:div>
            <w:div w:id="579293302">
              <w:marLeft w:val="0"/>
              <w:marRight w:val="0"/>
              <w:marTop w:val="0"/>
              <w:marBottom w:val="0"/>
              <w:divBdr>
                <w:top w:val="none" w:sz="0" w:space="0" w:color="auto"/>
                <w:left w:val="none" w:sz="0" w:space="0" w:color="auto"/>
                <w:bottom w:val="none" w:sz="0" w:space="0" w:color="auto"/>
                <w:right w:val="none" w:sz="0" w:space="0" w:color="auto"/>
              </w:divBdr>
            </w:div>
            <w:div w:id="934632051">
              <w:marLeft w:val="0"/>
              <w:marRight w:val="0"/>
              <w:marTop w:val="0"/>
              <w:marBottom w:val="0"/>
              <w:divBdr>
                <w:top w:val="none" w:sz="0" w:space="0" w:color="auto"/>
                <w:left w:val="none" w:sz="0" w:space="0" w:color="auto"/>
                <w:bottom w:val="none" w:sz="0" w:space="0" w:color="auto"/>
                <w:right w:val="none" w:sz="0" w:space="0" w:color="auto"/>
              </w:divBdr>
            </w:div>
            <w:div w:id="1230992999">
              <w:marLeft w:val="0"/>
              <w:marRight w:val="0"/>
              <w:marTop w:val="0"/>
              <w:marBottom w:val="0"/>
              <w:divBdr>
                <w:top w:val="none" w:sz="0" w:space="0" w:color="auto"/>
                <w:left w:val="none" w:sz="0" w:space="0" w:color="auto"/>
                <w:bottom w:val="none" w:sz="0" w:space="0" w:color="auto"/>
                <w:right w:val="none" w:sz="0" w:space="0" w:color="auto"/>
              </w:divBdr>
            </w:div>
            <w:div w:id="1399356955">
              <w:marLeft w:val="0"/>
              <w:marRight w:val="0"/>
              <w:marTop w:val="0"/>
              <w:marBottom w:val="0"/>
              <w:divBdr>
                <w:top w:val="none" w:sz="0" w:space="0" w:color="auto"/>
                <w:left w:val="none" w:sz="0" w:space="0" w:color="auto"/>
                <w:bottom w:val="none" w:sz="0" w:space="0" w:color="auto"/>
                <w:right w:val="none" w:sz="0" w:space="0" w:color="auto"/>
              </w:divBdr>
            </w:div>
            <w:div w:id="1429041953">
              <w:marLeft w:val="0"/>
              <w:marRight w:val="0"/>
              <w:marTop w:val="0"/>
              <w:marBottom w:val="0"/>
              <w:divBdr>
                <w:top w:val="none" w:sz="0" w:space="0" w:color="auto"/>
                <w:left w:val="none" w:sz="0" w:space="0" w:color="auto"/>
                <w:bottom w:val="none" w:sz="0" w:space="0" w:color="auto"/>
                <w:right w:val="none" w:sz="0" w:space="0" w:color="auto"/>
              </w:divBdr>
            </w:div>
            <w:div w:id="1544755909">
              <w:marLeft w:val="0"/>
              <w:marRight w:val="0"/>
              <w:marTop w:val="0"/>
              <w:marBottom w:val="0"/>
              <w:divBdr>
                <w:top w:val="none" w:sz="0" w:space="0" w:color="auto"/>
                <w:left w:val="none" w:sz="0" w:space="0" w:color="auto"/>
                <w:bottom w:val="none" w:sz="0" w:space="0" w:color="auto"/>
                <w:right w:val="none" w:sz="0" w:space="0" w:color="auto"/>
              </w:divBdr>
            </w:div>
            <w:div w:id="15989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t\AppData\Roaming\Microsoft\Templates\COMRU%20S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COMRU SOP template.dotx</Template>
  <TotalTime>3</TotalTime>
  <Pages>9</Pages>
  <Words>1527</Words>
  <Characters>8507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1</vt:lpstr>
    </vt:vector>
  </TitlesOfParts>
  <Company>Wellcome Trust Unit- Thailand</Company>
  <LinksUpToDate>false</LinksUpToDate>
  <CharactersWithSpaces>10014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Paul Turner</dc:creator>
  <cp:lastModifiedBy>Samuel Franzen</cp:lastModifiedBy>
  <cp:revision>3</cp:revision>
  <cp:lastPrinted>2013-11-11T01:29:00Z</cp:lastPrinted>
  <dcterms:created xsi:type="dcterms:W3CDTF">2014-03-27T14:25:00Z</dcterms:created>
  <dcterms:modified xsi:type="dcterms:W3CDTF">2014-03-27T14:36:00Z</dcterms:modified>
</cp:coreProperties>
</file>