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983F5B" w:rsidRDefault="00B83471" w:rsidP="00D219C6">
      <w:pPr>
        <w:pStyle w:val="Heading1"/>
        <w:rPr>
          <w:lang w:val="en-GB"/>
        </w:rPr>
      </w:pPr>
      <w:bookmarkStart w:id="0" w:name="_GoBack"/>
      <w:bookmarkEnd w:id="0"/>
      <w:r w:rsidRPr="00983F5B">
        <w:rPr>
          <w:lang w:val="en-GB"/>
        </w:rPr>
        <w:t>Aim</w:t>
      </w:r>
    </w:p>
    <w:p w:rsidR="00B83471" w:rsidRPr="00983F5B" w:rsidRDefault="00F602DE" w:rsidP="00D219C6">
      <w:pPr>
        <w:rPr>
          <w:lang w:val="en-GB"/>
        </w:rPr>
      </w:pPr>
      <w:r>
        <w:rPr>
          <w:lang w:val="en-GB"/>
        </w:rPr>
        <w:t xml:space="preserve">To describe the processing of clinical specimens collected for investigation of potential </w:t>
      </w:r>
      <w:r w:rsidR="00DA6E03">
        <w:rPr>
          <w:lang w:val="en-GB"/>
        </w:rPr>
        <w:t>lower respiratory tract infections</w:t>
      </w:r>
    </w:p>
    <w:p w:rsidR="00405ACC" w:rsidRPr="00983F5B" w:rsidRDefault="00B83471" w:rsidP="00D219C6">
      <w:pPr>
        <w:pStyle w:val="Heading1"/>
        <w:rPr>
          <w:lang w:val="en-GB"/>
        </w:rPr>
      </w:pPr>
      <w:r w:rsidRPr="00983F5B">
        <w:rPr>
          <w:lang w:val="en-GB"/>
        </w:rPr>
        <w:t>Principle</w:t>
      </w:r>
    </w:p>
    <w:p w:rsidR="0001221C" w:rsidRDefault="00DA6E03" w:rsidP="0001221C">
      <w:pPr>
        <w:spacing w:before="240"/>
        <w:rPr>
          <w:lang w:val="en-GB"/>
        </w:rPr>
      </w:pPr>
      <w:r>
        <w:rPr>
          <w:lang w:val="en-GB"/>
        </w:rPr>
        <w:t>Investigation of the bacterial causes of lower respiratory tract infection (i.e. pneumonia) is hampered by access to the site of infection. Sputum is the standard specimen but is often of poor quality as a result of collection technique. Sputum specimens are often contaminated with upper respiratory tract and mouth flora. Additionally young children are unable to reliably expectorate (cough up) sputum. In intubated patients, access to the lower respiratory tract is gained via the endotracheal tube (ETT): a variety of sampling strategies exist, of which the simplest is simple aspiration of secretions (the endotracheal aspirate, ET</w:t>
      </w:r>
      <w:r w:rsidR="00FA123E">
        <w:rPr>
          <w:lang w:val="en-GB"/>
        </w:rPr>
        <w:t>T-</w:t>
      </w:r>
      <w:r>
        <w:rPr>
          <w:lang w:val="en-GB"/>
        </w:rPr>
        <w:t>A). Unfortunately, ET</w:t>
      </w:r>
      <w:r w:rsidR="00FA123E">
        <w:rPr>
          <w:lang w:val="en-GB"/>
        </w:rPr>
        <w:t>T-</w:t>
      </w:r>
      <w:r>
        <w:rPr>
          <w:lang w:val="en-GB"/>
        </w:rPr>
        <w:t>A specimens are also frequently contaminated by commensals meaning interpretation of significance of cultured isolates is difficult.</w:t>
      </w:r>
    </w:p>
    <w:p w:rsidR="00DA6E03" w:rsidRDefault="00DA6E03" w:rsidP="0001221C">
      <w:pPr>
        <w:spacing w:before="240"/>
        <w:rPr>
          <w:lang w:val="en-GB"/>
        </w:rPr>
      </w:pPr>
      <w:r>
        <w:rPr>
          <w:lang w:val="en-GB"/>
        </w:rPr>
        <w:t>Lower respiratory tract infections may be caused b</w:t>
      </w:r>
      <w:r w:rsidR="00A45664">
        <w:rPr>
          <w:lang w:val="en-GB"/>
        </w:rPr>
        <w:t>y</w:t>
      </w:r>
      <w:r>
        <w:rPr>
          <w:lang w:val="en-GB"/>
        </w:rPr>
        <w:t xml:space="preserve"> a variety of organisms depending on patient factors and whether the infection is acquired in the community (community-acquired pneumonia) or in hospital (hospital-acquired pneumonia)</w:t>
      </w:r>
      <w:r w:rsidR="00A45664">
        <w:rPr>
          <w:lang w:val="en-GB"/>
        </w:rPr>
        <w:t>:</w:t>
      </w:r>
    </w:p>
    <w:p w:rsidR="00DA6E03" w:rsidRDefault="00DA6E03" w:rsidP="00DA6E03">
      <w:pPr>
        <w:pStyle w:val="ListParagraph"/>
        <w:numPr>
          <w:ilvl w:val="0"/>
          <w:numId w:val="12"/>
        </w:numPr>
        <w:spacing w:before="240"/>
        <w:rPr>
          <w:lang w:val="en-GB"/>
        </w:rPr>
      </w:pPr>
      <w:r>
        <w:rPr>
          <w:lang w:val="en-GB"/>
        </w:rPr>
        <w:t>Community-acquired infection:</w:t>
      </w:r>
      <w:r w:rsidR="00A45664">
        <w:rPr>
          <w:lang w:val="en-GB"/>
        </w:rPr>
        <w:t xml:space="preserve"> </w:t>
      </w:r>
      <w:r w:rsidR="00A45664">
        <w:rPr>
          <w:i/>
          <w:lang w:val="en-GB"/>
        </w:rPr>
        <w:t xml:space="preserve">Streptococcus pneumoniae, Haemophilus influenzae, Staphylococcus aureus, Klebsiella pneumoniae, </w:t>
      </w:r>
      <w:r w:rsidR="00A45664">
        <w:rPr>
          <w:lang w:val="en-GB"/>
        </w:rPr>
        <w:t>atypical organisms (</w:t>
      </w:r>
      <w:r w:rsidR="00A45664">
        <w:rPr>
          <w:i/>
          <w:lang w:val="en-GB"/>
        </w:rPr>
        <w:t xml:space="preserve">Mycoplasma pneumoniae, Chlamydia pneumoniae, </w:t>
      </w:r>
      <w:r w:rsidR="00A45664">
        <w:rPr>
          <w:lang w:val="en-GB"/>
        </w:rPr>
        <w:t>etc.</w:t>
      </w:r>
      <w:r w:rsidR="00A45664">
        <w:rPr>
          <w:i/>
          <w:lang w:val="en-GB"/>
        </w:rPr>
        <w:t>)</w:t>
      </w:r>
      <w:r w:rsidR="00A45664">
        <w:rPr>
          <w:lang w:val="en-GB"/>
        </w:rPr>
        <w:t xml:space="preserve">, </w:t>
      </w:r>
      <w:r w:rsidR="00A45664">
        <w:rPr>
          <w:i/>
          <w:lang w:val="en-GB"/>
        </w:rPr>
        <w:t xml:space="preserve">Legionella </w:t>
      </w:r>
      <w:proofErr w:type="spellStart"/>
      <w:r w:rsidR="00A45664">
        <w:rPr>
          <w:i/>
          <w:lang w:val="en-GB"/>
        </w:rPr>
        <w:t>pneumophila</w:t>
      </w:r>
      <w:proofErr w:type="spellEnd"/>
      <w:r w:rsidR="00A45664">
        <w:rPr>
          <w:i/>
          <w:lang w:val="en-GB"/>
        </w:rPr>
        <w:t>,</w:t>
      </w:r>
      <w:r w:rsidR="00A45664">
        <w:rPr>
          <w:lang w:val="en-GB"/>
        </w:rPr>
        <w:t xml:space="preserve"> viruses, others (fungal and parasitic pathogens in certain hosts).</w:t>
      </w:r>
    </w:p>
    <w:p w:rsidR="00DA6E03" w:rsidRDefault="00DA6E03" w:rsidP="00DA6E03">
      <w:pPr>
        <w:pStyle w:val="ListParagraph"/>
        <w:numPr>
          <w:ilvl w:val="0"/>
          <w:numId w:val="12"/>
        </w:numPr>
        <w:spacing w:before="240"/>
        <w:rPr>
          <w:lang w:val="en-GB"/>
        </w:rPr>
      </w:pPr>
      <w:r>
        <w:rPr>
          <w:lang w:val="en-GB"/>
        </w:rPr>
        <w:t>Hospital acquired infection:</w:t>
      </w:r>
      <w:r w:rsidR="00A45664">
        <w:rPr>
          <w:lang w:val="en-GB"/>
        </w:rPr>
        <w:t xml:space="preserve"> </w:t>
      </w:r>
      <w:r w:rsidR="00A45664">
        <w:rPr>
          <w:i/>
          <w:lang w:val="en-GB"/>
        </w:rPr>
        <w:t xml:space="preserve">Pseudomonas aeruginosa, Acinetobacter </w:t>
      </w:r>
      <w:r w:rsidR="00A45664">
        <w:rPr>
          <w:lang w:val="en-GB"/>
        </w:rPr>
        <w:t xml:space="preserve">spp., coliforms, </w:t>
      </w:r>
      <w:r w:rsidR="00A45664">
        <w:rPr>
          <w:i/>
          <w:lang w:val="en-GB"/>
        </w:rPr>
        <w:t xml:space="preserve">S. aureus </w:t>
      </w:r>
      <w:r w:rsidR="00A45664">
        <w:rPr>
          <w:lang w:val="en-GB"/>
        </w:rPr>
        <w:t>(incl. MRSA).</w:t>
      </w:r>
    </w:p>
    <w:p w:rsidR="00A45664" w:rsidRDefault="00A45664" w:rsidP="00DA6E03">
      <w:pPr>
        <w:pStyle w:val="ListParagraph"/>
        <w:numPr>
          <w:ilvl w:val="0"/>
          <w:numId w:val="12"/>
        </w:numPr>
        <w:spacing w:before="240"/>
        <w:rPr>
          <w:lang w:val="en-GB"/>
        </w:rPr>
      </w:pPr>
      <w:r>
        <w:rPr>
          <w:lang w:val="en-GB"/>
        </w:rPr>
        <w:t xml:space="preserve">Lung abscess: </w:t>
      </w:r>
      <w:r>
        <w:rPr>
          <w:i/>
          <w:lang w:val="en-GB"/>
        </w:rPr>
        <w:t>Burkholderia pseudomallei</w:t>
      </w:r>
      <w:r w:rsidR="00F9569C">
        <w:rPr>
          <w:i/>
          <w:lang w:val="en-GB"/>
        </w:rPr>
        <w:t xml:space="preserve"> </w:t>
      </w:r>
      <w:r w:rsidR="00F9569C">
        <w:rPr>
          <w:lang w:val="en-GB"/>
        </w:rPr>
        <w:t>(see SOP MIC-013)</w:t>
      </w:r>
      <w:r>
        <w:rPr>
          <w:i/>
          <w:lang w:val="en-GB"/>
        </w:rPr>
        <w:t xml:space="preserve">, S. aureus, K. pneumoniae, </w:t>
      </w:r>
      <w:r>
        <w:rPr>
          <w:lang w:val="en-GB"/>
        </w:rPr>
        <w:t>oral streptococci and anaerobes.</w:t>
      </w:r>
    </w:p>
    <w:p w:rsidR="00A45664" w:rsidRPr="00DA6E03" w:rsidRDefault="00A45664" w:rsidP="00DA6E03">
      <w:pPr>
        <w:pStyle w:val="ListParagraph"/>
        <w:numPr>
          <w:ilvl w:val="0"/>
          <w:numId w:val="12"/>
        </w:numPr>
        <w:spacing w:before="240"/>
        <w:rPr>
          <w:lang w:val="en-GB"/>
        </w:rPr>
        <w:sectPr w:rsidR="00A45664" w:rsidRPr="00DA6E03" w:rsidSect="006C64AF">
          <w:headerReference w:type="default" r:id="rId9"/>
          <w:footerReference w:type="default" r:id="rId10"/>
          <w:pgSz w:w="12240" w:h="15840"/>
          <w:pgMar w:top="1440" w:right="1800" w:bottom="1440" w:left="1800" w:header="708" w:footer="708" w:gutter="0"/>
          <w:cols w:space="708"/>
          <w:docGrid w:linePitch="326"/>
        </w:sectPr>
      </w:pPr>
      <w:r>
        <w:rPr>
          <w:i/>
          <w:lang w:val="en-GB"/>
        </w:rPr>
        <w:t>Mycobacterium tuberculosis</w:t>
      </w:r>
      <w:r>
        <w:rPr>
          <w:lang w:val="en-GB"/>
        </w:rPr>
        <w:t xml:space="preserve"> and other non-TB mycobacteria (NTM) infections</w:t>
      </w:r>
      <w:r w:rsidR="00712A6C">
        <w:rPr>
          <w:lang w:val="en-GB"/>
        </w:rPr>
        <w:t xml:space="preserve"> (see SOP MIC-016).</w:t>
      </w:r>
    </w:p>
    <w:p w:rsidR="00BF4A7B" w:rsidRPr="00983F5B" w:rsidRDefault="00BF4A7B" w:rsidP="00BF4A7B">
      <w:pPr>
        <w:pStyle w:val="Heading1"/>
        <w:rPr>
          <w:lang w:val="en-GB"/>
        </w:rPr>
      </w:pPr>
      <w:r w:rsidRPr="00983F5B">
        <w:rPr>
          <w:lang w:val="en-GB"/>
        </w:rPr>
        <w:lastRenderedPageBreak/>
        <w:t>Method</w:t>
      </w:r>
    </w:p>
    <w:p w:rsidR="00F602DE" w:rsidRPr="00093BA1" w:rsidRDefault="00F602DE" w:rsidP="00F602DE">
      <w:pPr>
        <w:pStyle w:val="Heading2"/>
        <w:rPr>
          <w:lang w:val="en-GB"/>
        </w:rPr>
      </w:pPr>
      <w:r w:rsidRPr="00093BA1">
        <w:rPr>
          <w:lang w:val="en-GB"/>
        </w:rPr>
        <w:t>Specimen collection</w:t>
      </w:r>
    </w:p>
    <w:p w:rsidR="00712A6C" w:rsidRDefault="00401CCE" w:rsidP="00F602DE">
      <w:pPr>
        <w:rPr>
          <w:lang w:val="en-GB"/>
        </w:rPr>
      </w:pPr>
      <w:r>
        <w:rPr>
          <w:lang w:val="en-GB"/>
        </w:rPr>
        <w:t>S</w:t>
      </w:r>
      <w:r w:rsidR="00712A6C">
        <w:rPr>
          <w:lang w:val="en-GB"/>
        </w:rPr>
        <w:t>putum s</w:t>
      </w:r>
      <w:r>
        <w:rPr>
          <w:lang w:val="en-GB"/>
        </w:rPr>
        <w:t xml:space="preserve">pecimens should be collected </w:t>
      </w:r>
      <w:r w:rsidR="00712A6C">
        <w:rPr>
          <w:lang w:val="en-GB"/>
        </w:rPr>
        <w:t>into wide mouthed sterile leak proof containers: younger children cannot expectorate sputum and in these cases sputum induction using nebulised saline may be used.</w:t>
      </w:r>
    </w:p>
    <w:p w:rsidR="00F602DE" w:rsidRDefault="00712A6C" w:rsidP="00F602DE">
      <w:pPr>
        <w:rPr>
          <w:lang w:val="en-GB"/>
        </w:rPr>
      </w:pPr>
      <w:r>
        <w:rPr>
          <w:lang w:val="en-GB"/>
        </w:rPr>
        <w:t>Endotracheal aspirates should be collected using aseptic technique into sterile leak proof containers.</w:t>
      </w:r>
    </w:p>
    <w:p w:rsidR="00AA31A2" w:rsidRPr="00093BA1" w:rsidRDefault="00AA31A2" w:rsidP="00F602DE">
      <w:pPr>
        <w:rPr>
          <w:lang w:val="en-GB"/>
        </w:rPr>
      </w:pPr>
      <w:r>
        <w:rPr>
          <w:lang w:val="en-GB"/>
        </w:rPr>
        <w:t>Swabs are not an appropriate specimen and should not be processed.</w:t>
      </w:r>
    </w:p>
    <w:p w:rsidR="00F602DE" w:rsidRPr="00093BA1" w:rsidRDefault="00F602DE" w:rsidP="00F602DE">
      <w:pPr>
        <w:pStyle w:val="Heading2"/>
        <w:rPr>
          <w:lang w:val="en-GB"/>
        </w:rPr>
      </w:pPr>
      <w:r w:rsidRPr="00093BA1">
        <w:rPr>
          <w:lang w:val="en-GB"/>
        </w:rPr>
        <w:t>Specimen transport and storage</w:t>
      </w:r>
    </w:p>
    <w:p w:rsidR="00F602DE" w:rsidRPr="00712A6C" w:rsidRDefault="00F602DE" w:rsidP="00F602DE">
      <w:pPr>
        <w:rPr>
          <w:i/>
          <w:lang w:val="en-GB"/>
        </w:rPr>
      </w:pPr>
      <w:r w:rsidRPr="00093BA1">
        <w:rPr>
          <w:lang w:val="en-GB"/>
        </w:rPr>
        <w:t xml:space="preserve">Specimens should ideally be stored and transported in sealed plastic bags. Laboratory processing should occur as soon as possible after specimen </w:t>
      </w:r>
      <w:r w:rsidR="00712A6C">
        <w:rPr>
          <w:lang w:val="en-GB"/>
        </w:rPr>
        <w:t xml:space="preserve">collection. Specimens should be refrigerated if immediate processing is not possible. </w:t>
      </w:r>
      <w:r w:rsidR="00712A6C">
        <w:t xml:space="preserve">If specimens are not processed on the same day as they are collected, interpretation of results should be made with care, since </w:t>
      </w:r>
      <w:r w:rsidR="00712A6C">
        <w:rPr>
          <w:i/>
        </w:rPr>
        <w:t xml:space="preserve">S. pneumoniae </w:t>
      </w:r>
      <w:r w:rsidR="00712A6C">
        <w:t xml:space="preserve">and </w:t>
      </w:r>
      <w:r w:rsidR="00712A6C">
        <w:rPr>
          <w:i/>
        </w:rPr>
        <w:t xml:space="preserve">H. influenzae </w:t>
      </w:r>
      <w:r w:rsidR="00712A6C" w:rsidRPr="00712A6C">
        <w:t>may be rendered non-viable and GNB overgrowth may occur.</w:t>
      </w:r>
    </w:p>
    <w:p w:rsidR="00F602DE" w:rsidRDefault="00F602DE" w:rsidP="00F602DE">
      <w:pPr>
        <w:pStyle w:val="Heading2"/>
        <w:rPr>
          <w:lang w:val="en-GB"/>
        </w:rPr>
      </w:pPr>
      <w:r w:rsidRPr="00093BA1">
        <w:rPr>
          <w:lang w:val="en-GB"/>
        </w:rPr>
        <w:t>Specimen processing</w:t>
      </w:r>
    </w:p>
    <w:p w:rsidR="00AA31A2" w:rsidRPr="00AA31A2" w:rsidRDefault="00AA31A2" w:rsidP="00AA31A2">
      <w:pPr>
        <w:rPr>
          <w:lang w:val="en-GB"/>
        </w:rPr>
      </w:pPr>
      <w:r>
        <w:rPr>
          <w:lang w:val="en-GB"/>
        </w:rPr>
        <w:t>Specimens should be processed in the Class II biosafety cabinet.</w:t>
      </w:r>
    </w:p>
    <w:p w:rsidR="00F602DE" w:rsidRPr="00093BA1" w:rsidRDefault="00F602DE" w:rsidP="00F602DE">
      <w:pPr>
        <w:pStyle w:val="Heading3"/>
        <w:rPr>
          <w:lang w:val="en-GB"/>
        </w:rPr>
      </w:pPr>
      <w:r w:rsidRPr="00093BA1">
        <w:rPr>
          <w:lang w:val="en-GB"/>
        </w:rPr>
        <w:t>Reception</w:t>
      </w:r>
    </w:p>
    <w:p w:rsidR="00F602DE" w:rsidRDefault="00F602DE" w:rsidP="00F602DE">
      <w:pPr>
        <w:rPr>
          <w:lang w:val="en-GB"/>
        </w:rPr>
      </w:pPr>
      <w:r w:rsidRPr="00093BA1">
        <w:rPr>
          <w:lang w:val="en-GB"/>
        </w:rPr>
        <w:t>Log the specimen in the appropriate specimen book and assign a specimen number.</w:t>
      </w:r>
    </w:p>
    <w:p w:rsidR="0059223F" w:rsidRDefault="0059223F" w:rsidP="0059223F">
      <w:pPr>
        <w:pStyle w:val="Heading3"/>
        <w:rPr>
          <w:lang w:val="en-GB"/>
        </w:rPr>
      </w:pPr>
      <w:r>
        <w:rPr>
          <w:lang w:val="en-GB"/>
        </w:rPr>
        <w:t>Specimen preparation</w:t>
      </w:r>
    </w:p>
    <w:p w:rsidR="0059223F" w:rsidRDefault="0059223F" w:rsidP="0059223F">
      <w:pPr>
        <w:rPr>
          <w:lang w:val="en-GB"/>
        </w:rPr>
      </w:pPr>
      <w:r>
        <w:rPr>
          <w:lang w:val="en-GB"/>
        </w:rPr>
        <w:t>For ET</w:t>
      </w:r>
      <w:r w:rsidR="00FA123E">
        <w:rPr>
          <w:lang w:val="en-GB"/>
        </w:rPr>
        <w:t>T</w:t>
      </w:r>
      <w:r>
        <w:rPr>
          <w:lang w:val="en-GB"/>
        </w:rPr>
        <w:t xml:space="preserve"> aspirates, flush the suction tubing through with a small amount (0.5 – 1ml) of sterile saline using a sterile syringe to release the specimen into a sterile container.</w:t>
      </w:r>
    </w:p>
    <w:p w:rsidR="0059223F" w:rsidRDefault="0059223F" w:rsidP="0059223F">
      <w:pPr>
        <w:rPr>
          <w:lang w:val="en-GB"/>
        </w:rPr>
      </w:pPr>
      <w:r>
        <w:rPr>
          <w:lang w:val="en-GB"/>
        </w:rPr>
        <w:t>All subsequent steps are identical for both sputum</w:t>
      </w:r>
      <w:r w:rsidR="00826E84">
        <w:rPr>
          <w:lang w:val="en-GB"/>
        </w:rPr>
        <w:t xml:space="preserve"> and ET</w:t>
      </w:r>
      <w:r w:rsidR="00FA123E">
        <w:rPr>
          <w:lang w:val="en-GB"/>
        </w:rPr>
        <w:t>T</w:t>
      </w:r>
      <w:r w:rsidR="00826E84">
        <w:rPr>
          <w:lang w:val="en-GB"/>
        </w:rPr>
        <w:t xml:space="preserve"> aspirates: purulent portions of specimen should be selected for microscopy and culture.</w:t>
      </w:r>
    </w:p>
    <w:p w:rsidR="00826E84" w:rsidRPr="0059223F" w:rsidRDefault="00826E84" w:rsidP="0059223F">
      <w:pPr>
        <w:rPr>
          <w:lang w:val="en-GB"/>
        </w:rPr>
      </w:pPr>
      <w:r>
        <w:rPr>
          <w:lang w:val="en-GB"/>
        </w:rPr>
        <w:t>Record the macroscopic appearance of the specimen: salivary; purulent; blood-stained.</w:t>
      </w:r>
    </w:p>
    <w:p w:rsidR="00F602DE" w:rsidRDefault="00F602DE" w:rsidP="00F602DE">
      <w:pPr>
        <w:pStyle w:val="Heading3"/>
        <w:rPr>
          <w:lang w:val="en-GB"/>
        </w:rPr>
      </w:pPr>
      <w:r w:rsidRPr="00093BA1">
        <w:rPr>
          <w:lang w:val="en-GB"/>
        </w:rPr>
        <w:t>Microscopic examination</w:t>
      </w:r>
    </w:p>
    <w:p w:rsidR="00401CCE" w:rsidRDefault="007D1CB1" w:rsidP="0001221C">
      <w:r>
        <w:t xml:space="preserve">Prepare a thin smear </w:t>
      </w:r>
      <w:r w:rsidR="0059223F">
        <w:t>of ET</w:t>
      </w:r>
      <w:r w:rsidR="00FA123E">
        <w:t>T</w:t>
      </w:r>
      <w:r w:rsidR="0059223F">
        <w:t xml:space="preserve"> aspirate or sputum </w:t>
      </w:r>
      <w:r>
        <w:t>on a clean labeled microcopy slide for Gram stain. Allow the smear to air dry and heat-fix on the electric hotplate before staining.</w:t>
      </w:r>
    </w:p>
    <w:p w:rsidR="007D1CB1" w:rsidRDefault="007D1CB1" w:rsidP="007D1CB1">
      <w:pPr>
        <w:rPr>
          <w:lang w:val="en-GB"/>
        </w:rPr>
      </w:pPr>
      <w:r>
        <w:rPr>
          <w:lang w:val="en-GB"/>
        </w:rPr>
        <w:t>For TB processing, refer to SOP MIC-016.</w:t>
      </w:r>
    </w:p>
    <w:p w:rsidR="00C53FAB" w:rsidRPr="000F5056" w:rsidRDefault="00E66BA9" w:rsidP="007D1CB1">
      <w:pPr>
        <w:rPr>
          <w:lang w:val="en-GB"/>
        </w:rPr>
      </w:pPr>
      <w:r>
        <w:rPr>
          <w:lang w:val="en-GB"/>
        </w:rPr>
        <w:lastRenderedPageBreak/>
        <w:t>If parasite infection</w:t>
      </w:r>
      <w:r w:rsidR="00C53FAB">
        <w:rPr>
          <w:lang w:val="en-GB"/>
        </w:rPr>
        <w:t xml:space="preserve"> (e.g. </w:t>
      </w:r>
      <w:r w:rsidR="00C53FAB">
        <w:rPr>
          <w:i/>
          <w:lang w:val="en-GB"/>
        </w:rPr>
        <w:t xml:space="preserve">Paragonimus </w:t>
      </w:r>
      <w:r w:rsidR="00C53FAB">
        <w:rPr>
          <w:lang w:val="en-GB"/>
        </w:rPr>
        <w:t xml:space="preserve">spp.) </w:t>
      </w:r>
      <w:r>
        <w:rPr>
          <w:lang w:val="en-GB"/>
        </w:rPr>
        <w:t>is</w:t>
      </w:r>
      <w:r w:rsidR="00C53FAB">
        <w:rPr>
          <w:lang w:val="en-GB"/>
        </w:rPr>
        <w:t xml:space="preserve"> suspected, prepare a wet prep of sputum with a drop of sterile saline, cover with a coverslip and examine for ova under low power magnification (x10).</w:t>
      </w:r>
    </w:p>
    <w:p w:rsidR="00401CCE" w:rsidRPr="00093BA1" w:rsidRDefault="00401CCE" w:rsidP="00401CCE">
      <w:pPr>
        <w:pStyle w:val="Heading3"/>
        <w:rPr>
          <w:lang w:val="en-GB"/>
        </w:rPr>
      </w:pPr>
      <w:r w:rsidRPr="00093BA1">
        <w:rPr>
          <w:lang w:val="en-GB"/>
        </w:rPr>
        <w:t>Culture</w:t>
      </w:r>
    </w:p>
    <w:p w:rsidR="00C327F6" w:rsidRDefault="00AA1740" w:rsidP="0001221C">
      <w:pPr>
        <w:rPr>
          <w:lang w:val="en-GB"/>
        </w:rPr>
      </w:pPr>
      <w:r w:rsidRPr="00093BA1">
        <w:rPr>
          <w:lang w:val="en-GB"/>
        </w:rPr>
        <w:t>Inoculate and incubate culture media as indicated in Table 1.</w:t>
      </w:r>
    </w:p>
    <w:p w:rsidR="00826E84" w:rsidRDefault="00826E84" w:rsidP="00826E84">
      <w:pPr>
        <w:rPr>
          <w:b/>
          <w:lang w:val="en-GB"/>
        </w:rPr>
        <w:sectPr w:rsidR="00826E84" w:rsidSect="00826E84">
          <w:headerReference w:type="default" r:id="rId11"/>
          <w:pgSz w:w="12240" w:h="15840"/>
          <w:pgMar w:top="1440" w:right="1800" w:bottom="1440" w:left="1800" w:header="708" w:footer="708" w:gutter="0"/>
          <w:cols w:space="708"/>
          <w:docGrid w:linePitch="326"/>
        </w:sectPr>
      </w:pPr>
    </w:p>
    <w:p w:rsidR="00826E84" w:rsidRPr="00093BA1" w:rsidRDefault="00826E84" w:rsidP="00826E84">
      <w:pPr>
        <w:rPr>
          <w:b/>
          <w:lang w:val="en-GB"/>
        </w:rPr>
      </w:pPr>
      <w:proofErr w:type="gramStart"/>
      <w:r w:rsidRPr="00093BA1">
        <w:rPr>
          <w:b/>
          <w:lang w:val="en-GB"/>
        </w:rPr>
        <w:t>Table 1.</w:t>
      </w:r>
      <w:proofErr w:type="gramEnd"/>
      <w:r w:rsidRPr="00093BA1">
        <w:rPr>
          <w:b/>
          <w:lang w:val="en-GB"/>
        </w:rPr>
        <w:t xml:space="preserve"> </w:t>
      </w:r>
      <w:r w:rsidRPr="00EB7212">
        <w:rPr>
          <w:lang w:val="en-GB"/>
        </w:rPr>
        <w:t>Culture media, conditions, and target organisms</w:t>
      </w:r>
    </w:p>
    <w:tbl>
      <w:tblPr>
        <w:tblStyle w:val="TableGrid"/>
        <w:tblW w:w="13008" w:type="dxa"/>
        <w:tblLayout w:type="fixed"/>
        <w:tblLook w:val="04A0" w:firstRow="1" w:lastRow="0" w:firstColumn="1" w:lastColumn="0" w:noHBand="0" w:noVBand="1"/>
      </w:tblPr>
      <w:tblGrid>
        <w:gridCol w:w="1951"/>
        <w:gridCol w:w="1843"/>
        <w:gridCol w:w="1276"/>
        <w:gridCol w:w="1417"/>
        <w:gridCol w:w="1134"/>
        <w:gridCol w:w="1559"/>
        <w:gridCol w:w="3828"/>
      </w:tblGrid>
      <w:tr w:rsidR="00AA1740" w:rsidRPr="001622B7" w:rsidTr="003532EC">
        <w:tc>
          <w:tcPr>
            <w:tcW w:w="1951" w:type="dxa"/>
            <w:vMerge w:val="restart"/>
            <w:shd w:val="clear" w:color="auto" w:fill="BFBFBF" w:themeFill="background1" w:themeFillShade="BF"/>
          </w:tcPr>
          <w:p w:rsidR="00AA1740" w:rsidRPr="001622B7" w:rsidRDefault="00AA1740" w:rsidP="00E57B39">
            <w:pPr>
              <w:spacing w:after="80"/>
              <w:jc w:val="left"/>
              <w:rPr>
                <w:b/>
                <w:iCs/>
                <w:szCs w:val="24"/>
                <w:lang w:val="en-GB"/>
              </w:rPr>
            </w:pPr>
            <w:r w:rsidRPr="001622B7">
              <w:rPr>
                <w:b/>
                <w:iCs/>
                <w:szCs w:val="24"/>
                <w:lang w:val="en-GB"/>
              </w:rPr>
              <w:t>Clinical / Gram strain</w:t>
            </w:r>
          </w:p>
        </w:tc>
        <w:tc>
          <w:tcPr>
            <w:tcW w:w="1843" w:type="dxa"/>
            <w:vMerge w:val="restart"/>
            <w:shd w:val="clear" w:color="auto" w:fill="BFBFBF" w:themeFill="background1" w:themeFillShade="BF"/>
          </w:tcPr>
          <w:p w:rsidR="00AA1740" w:rsidRPr="001622B7" w:rsidRDefault="00AA1740" w:rsidP="00E57B39">
            <w:pPr>
              <w:spacing w:after="80"/>
              <w:jc w:val="left"/>
              <w:rPr>
                <w:b/>
                <w:iCs/>
                <w:szCs w:val="24"/>
                <w:lang w:val="en-GB"/>
              </w:rPr>
            </w:pPr>
            <w:r w:rsidRPr="001622B7">
              <w:rPr>
                <w:b/>
                <w:iCs/>
                <w:szCs w:val="24"/>
                <w:lang w:val="en-GB"/>
              </w:rPr>
              <w:t>Standard media</w:t>
            </w:r>
          </w:p>
        </w:tc>
        <w:tc>
          <w:tcPr>
            <w:tcW w:w="3827" w:type="dxa"/>
            <w:gridSpan w:val="3"/>
            <w:tcBorders>
              <w:bottom w:val="single" w:sz="4" w:space="0" w:color="auto"/>
            </w:tcBorders>
            <w:shd w:val="clear" w:color="auto" w:fill="BFBFBF" w:themeFill="background1" w:themeFillShade="BF"/>
          </w:tcPr>
          <w:p w:rsidR="00AA1740" w:rsidRPr="001622B7" w:rsidRDefault="00AA1740" w:rsidP="00E57B39">
            <w:pPr>
              <w:spacing w:after="80"/>
              <w:jc w:val="center"/>
              <w:rPr>
                <w:b/>
                <w:iCs/>
                <w:szCs w:val="24"/>
                <w:lang w:val="en-GB"/>
              </w:rPr>
            </w:pPr>
            <w:r w:rsidRPr="001622B7">
              <w:rPr>
                <w:b/>
                <w:iCs/>
                <w:szCs w:val="24"/>
                <w:lang w:val="en-GB"/>
              </w:rPr>
              <w:t>Incubation</w:t>
            </w:r>
          </w:p>
        </w:tc>
        <w:tc>
          <w:tcPr>
            <w:tcW w:w="1559" w:type="dxa"/>
            <w:vMerge w:val="restart"/>
            <w:shd w:val="clear" w:color="auto" w:fill="BFBFBF" w:themeFill="background1" w:themeFillShade="BF"/>
          </w:tcPr>
          <w:p w:rsidR="00AA1740" w:rsidRPr="001622B7" w:rsidRDefault="00AA1740" w:rsidP="00E57B39">
            <w:pPr>
              <w:spacing w:after="80"/>
              <w:rPr>
                <w:b/>
                <w:iCs/>
                <w:szCs w:val="24"/>
                <w:lang w:val="en-GB"/>
              </w:rPr>
            </w:pPr>
            <w:r w:rsidRPr="001622B7">
              <w:rPr>
                <w:b/>
                <w:iCs/>
                <w:szCs w:val="24"/>
                <w:lang w:val="en-GB"/>
              </w:rPr>
              <w:t>Cultures read</w:t>
            </w:r>
          </w:p>
        </w:tc>
        <w:tc>
          <w:tcPr>
            <w:tcW w:w="3828" w:type="dxa"/>
            <w:vMerge w:val="restart"/>
            <w:shd w:val="clear" w:color="auto" w:fill="BFBFBF" w:themeFill="background1" w:themeFillShade="BF"/>
          </w:tcPr>
          <w:p w:rsidR="00AA1740" w:rsidRPr="001622B7" w:rsidRDefault="00AA1740" w:rsidP="00E57B39">
            <w:pPr>
              <w:spacing w:after="80"/>
              <w:rPr>
                <w:b/>
                <w:iCs/>
                <w:szCs w:val="24"/>
                <w:lang w:val="en-GB"/>
              </w:rPr>
            </w:pPr>
            <w:r w:rsidRPr="001622B7">
              <w:rPr>
                <w:b/>
                <w:iCs/>
                <w:szCs w:val="24"/>
                <w:lang w:val="en-GB"/>
              </w:rPr>
              <w:t>Target organism(s)</w:t>
            </w:r>
          </w:p>
        </w:tc>
      </w:tr>
      <w:tr w:rsidR="00AA1740" w:rsidRPr="001622B7" w:rsidTr="003532EC">
        <w:tc>
          <w:tcPr>
            <w:tcW w:w="1951" w:type="dxa"/>
            <w:vMerge/>
            <w:tcBorders>
              <w:bottom w:val="single" w:sz="4" w:space="0" w:color="auto"/>
            </w:tcBorders>
          </w:tcPr>
          <w:p w:rsidR="00AA1740" w:rsidRPr="001622B7" w:rsidRDefault="00AA1740" w:rsidP="00E57B39">
            <w:pPr>
              <w:spacing w:after="80"/>
              <w:rPr>
                <w:b/>
                <w:bCs/>
                <w:iCs/>
                <w:szCs w:val="24"/>
                <w:lang w:val="en-GB"/>
              </w:rPr>
            </w:pPr>
          </w:p>
        </w:tc>
        <w:tc>
          <w:tcPr>
            <w:tcW w:w="1843" w:type="dxa"/>
            <w:vMerge/>
            <w:tcBorders>
              <w:bottom w:val="single" w:sz="4" w:space="0" w:color="auto"/>
            </w:tcBorders>
          </w:tcPr>
          <w:p w:rsidR="00AA1740" w:rsidRPr="001622B7" w:rsidRDefault="00AA1740" w:rsidP="00E57B39">
            <w:pPr>
              <w:spacing w:after="80"/>
              <w:rPr>
                <w:b/>
                <w:bCs/>
                <w:iCs/>
                <w:szCs w:val="24"/>
                <w:lang w:val="en-GB"/>
              </w:rPr>
            </w:pPr>
          </w:p>
        </w:tc>
        <w:tc>
          <w:tcPr>
            <w:tcW w:w="1276" w:type="dxa"/>
            <w:tcBorders>
              <w:bottom w:val="single" w:sz="4" w:space="0" w:color="auto"/>
            </w:tcBorders>
            <w:shd w:val="clear" w:color="auto" w:fill="BFBFBF" w:themeFill="background1" w:themeFillShade="BF"/>
          </w:tcPr>
          <w:p w:rsidR="00AA1740" w:rsidRPr="001622B7" w:rsidRDefault="00AA1740" w:rsidP="00E57B39">
            <w:pPr>
              <w:spacing w:after="80"/>
              <w:rPr>
                <w:b/>
                <w:iCs/>
                <w:szCs w:val="24"/>
                <w:lang w:val="en-GB"/>
              </w:rPr>
            </w:pPr>
            <w:r w:rsidRPr="001622B7">
              <w:rPr>
                <w:b/>
                <w:iCs/>
                <w:szCs w:val="24"/>
                <w:lang w:val="en-GB"/>
              </w:rPr>
              <w:t>Temp (°C)</w:t>
            </w:r>
          </w:p>
        </w:tc>
        <w:tc>
          <w:tcPr>
            <w:tcW w:w="1417" w:type="dxa"/>
            <w:tcBorders>
              <w:bottom w:val="single" w:sz="4" w:space="0" w:color="auto"/>
            </w:tcBorders>
            <w:shd w:val="clear" w:color="auto" w:fill="BFBFBF" w:themeFill="background1" w:themeFillShade="BF"/>
          </w:tcPr>
          <w:p w:rsidR="00AA1740" w:rsidRPr="001622B7" w:rsidRDefault="00AA1740" w:rsidP="00E57B39">
            <w:pPr>
              <w:spacing w:after="80"/>
              <w:rPr>
                <w:b/>
                <w:iCs/>
                <w:szCs w:val="24"/>
                <w:lang w:val="en-GB"/>
              </w:rPr>
            </w:pPr>
            <w:r w:rsidRPr="001622B7">
              <w:rPr>
                <w:b/>
                <w:iCs/>
                <w:szCs w:val="24"/>
                <w:lang w:val="en-GB"/>
              </w:rPr>
              <w:t>Atmosphere</w:t>
            </w:r>
          </w:p>
        </w:tc>
        <w:tc>
          <w:tcPr>
            <w:tcW w:w="1134" w:type="dxa"/>
            <w:tcBorders>
              <w:bottom w:val="single" w:sz="4" w:space="0" w:color="auto"/>
            </w:tcBorders>
            <w:shd w:val="clear" w:color="auto" w:fill="BFBFBF" w:themeFill="background1" w:themeFillShade="BF"/>
          </w:tcPr>
          <w:p w:rsidR="00AA1740" w:rsidRPr="001622B7" w:rsidRDefault="00AA1740" w:rsidP="00E57B39">
            <w:pPr>
              <w:spacing w:after="80"/>
              <w:rPr>
                <w:b/>
                <w:iCs/>
                <w:szCs w:val="24"/>
                <w:lang w:val="en-GB"/>
              </w:rPr>
            </w:pPr>
            <w:r w:rsidRPr="001622B7">
              <w:rPr>
                <w:b/>
                <w:iCs/>
                <w:szCs w:val="24"/>
                <w:lang w:val="en-GB"/>
              </w:rPr>
              <w:t>Time</w:t>
            </w:r>
          </w:p>
        </w:tc>
        <w:tc>
          <w:tcPr>
            <w:tcW w:w="1559" w:type="dxa"/>
            <w:vMerge/>
            <w:tcBorders>
              <w:bottom w:val="single" w:sz="4" w:space="0" w:color="auto"/>
            </w:tcBorders>
          </w:tcPr>
          <w:p w:rsidR="00AA1740" w:rsidRPr="001622B7" w:rsidRDefault="00AA1740" w:rsidP="00E57B39">
            <w:pPr>
              <w:spacing w:after="80"/>
              <w:rPr>
                <w:b/>
                <w:bCs/>
                <w:iCs/>
                <w:szCs w:val="24"/>
                <w:lang w:val="en-GB"/>
              </w:rPr>
            </w:pPr>
          </w:p>
        </w:tc>
        <w:tc>
          <w:tcPr>
            <w:tcW w:w="3828" w:type="dxa"/>
            <w:vMerge/>
            <w:tcBorders>
              <w:bottom w:val="single" w:sz="4" w:space="0" w:color="auto"/>
            </w:tcBorders>
          </w:tcPr>
          <w:p w:rsidR="00AA1740" w:rsidRPr="001622B7" w:rsidRDefault="00AA1740" w:rsidP="00E57B39">
            <w:pPr>
              <w:spacing w:after="80"/>
              <w:rPr>
                <w:b/>
                <w:bCs/>
                <w:iCs/>
                <w:szCs w:val="24"/>
                <w:lang w:val="en-GB"/>
              </w:rPr>
            </w:pPr>
          </w:p>
        </w:tc>
      </w:tr>
      <w:tr w:rsidR="00AA1740" w:rsidRPr="001622B7" w:rsidTr="00E57B39">
        <w:tc>
          <w:tcPr>
            <w:tcW w:w="1951" w:type="dxa"/>
            <w:vMerge w:val="restart"/>
            <w:tcBorders>
              <w:top w:val="single" w:sz="4" w:space="0" w:color="auto"/>
            </w:tcBorders>
          </w:tcPr>
          <w:p w:rsidR="00AA1740" w:rsidRPr="001622B7" w:rsidRDefault="00AA1740" w:rsidP="00E57B39">
            <w:pPr>
              <w:spacing w:after="80"/>
              <w:jc w:val="left"/>
              <w:rPr>
                <w:bCs/>
                <w:iCs/>
                <w:szCs w:val="24"/>
                <w:vertAlign w:val="superscript"/>
                <w:lang w:val="en-GB"/>
              </w:rPr>
            </w:pPr>
            <w:r w:rsidRPr="001622B7">
              <w:rPr>
                <w:bCs/>
                <w:iCs/>
                <w:szCs w:val="24"/>
                <w:lang w:val="en-GB"/>
              </w:rPr>
              <w:t>All</w:t>
            </w:r>
          </w:p>
          <w:p w:rsidR="00AA1740" w:rsidRPr="001622B7" w:rsidRDefault="00AA1740" w:rsidP="00E57B39">
            <w:pPr>
              <w:spacing w:after="80"/>
              <w:jc w:val="left"/>
              <w:rPr>
                <w:bCs/>
                <w:iCs/>
                <w:szCs w:val="24"/>
                <w:lang w:val="en-GB"/>
              </w:rPr>
            </w:pPr>
          </w:p>
        </w:tc>
        <w:tc>
          <w:tcPr>
            <w:tcW w:w="1843" w:type="dxa"/>
            <w:tcBorders>
              <w:top w:val="single" w:sz="4" w:space="0" w:color="auto"/>
            </w:tcBorders>
          </w:tcPr>
          <w:p w:rsidR="00AA1740" w:rsidRPr="001622B7" w:rsidRDefault="00AA1740" w:rsidP="00E57B39">
            <w:pPr>
              <w:spacing w:after="80"/>
              <w:jc w:val="left"/>
              <w:rPr>
                <w:bCs/>
                <w:iCs/>
                <w:szCs w:val="24"/>
                <w:lang w:val="en-GB"/>
              </w:rPr>
            </w:pPr>
            <w:r w:rsidRPr="001622B7">
              <w:rPr>
                <w:bCs/>
                <w:iCs/>
                <w:szCs w:val="24"/>
                <w:lang w:val="en-GB"/>
              </w:rPr>
              <w:t>Blood agar</w:t>
            </w:r>
            <w:r>
              <w:rPr>
                <w:bCs/>
                <w:iCs/>
                <w:szCs w:val="24"/>
                <w:lang w:val="en-GB"/>
              </w:rPr>
              <w:t xml:space="preserve"> + optochin disc</w:t>
            </w:r>
          </w:p>
        </w:tc>
        <w:tc>
          <w:tcPr>
            <w:tcW w:w="1276" w:type="dxa"/>
            <w:tcBorders>
              <w:top w:val="single" w:sz="4" w:space="0" w:color="auto"/>
            </w:tcBorders>
          </w:tcPr>
          <w:p w:rsidR="00AA1740" w:rsidRPr="001622B7" w:rsidRDefault="00AA1740" w:rsidP="00E57B39">
            <w:pPr>
              <w:spacing w:after="80"/>
              <w:jc w:val="left"/>
              <w:rPr>
                <w:bCs/>
                <w:iCs/>
                <w:szCs w:val="24"/>
                <w:lang w:val="en-GB"/>
              </w:rPr>
            </w:pPr>
            <w:r w:rsidRPr="001622B7">
              <w:rPr>
                <w:bCs/>
                <w:iCs/>
                <w:szCs w:val="24"/>
                <w:lang w:val="en-GB"/>
              </w:rPr>
              <w:t>35 – 37</w:t>
            </w:r>
          </w:p>
        </w:tc>
        <w:tc>
          <w:tcPr>
            <w:tcW w:w="1417" w:type="dxa"/>
            <w:tcBorders>
              <w:top w:val="single" w:sz="4" w:space="0" w:color="auto"/>
            </w:tcBorders>
          </w:tcPr>
          <w:p w:rsidR="00AA1740" w:rsidRPr="001622B7" w:rsidRDefault="00AA1740" w:rsidP="00E57B39">
            <w:pPr>
              <w:spacing w:after="80"/>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tcBorders>
              <w:top w:val="single" w:sz="4" w:space="0" w:color="auto"/>
            </w:tcBorders>
          </w:tcPr>
          <w:p w:rsidR="00AA1740" w:rsidRPr="001622B7" w:rsidRDefault="00516CC9" w:rsidP="00E57B39">
            <w:pPr>
              <w:spacing w:after="80"/>
              <w:jc w:val="left"/>
              <w:rPr>
                <w:bCs/>
                <w:iCs/>
                <w:szCs w:val="24"/>
                <w:lang w:val="en-GB"/>
              </w:rPr>
            </w:pPr>
            <w:r>
              <w:rPr>
                <w:bCs/>
                <w:iCs/>
                <w:szCs w:val="24"/>
                <w:lang w:val="en-GB"/>
              </w:rPr>
              <w:t xml:space="preserve">40 - </w:t>
            </w:r>
            <w:r w:rsidR="00AA1740" w:rsidRPr="001622B7">
              <w:rPr>
                <w:bCs/>
                <w:iCs/>
                <w:szCs w:val="24"/>
                <w:lang w:val="en-GB"/>
              </w:rPr>
              <w:t>48h</w:t>
            </w:r>
          </w:p>
        </w:tc>
        <w:tc>
          <w:tcPr>
            <w:tcW w:w="1559" w:type="dxa"/>
            <w:tcBorders>
              <w:top w:val="single" w:sz="4" w:space="0" w:color="auto"/>
            </w:tcBorders>
          </w:tcPr>
          <w:p w:rsidR="00AA1740" w:rsidRDefault="00AA1740" w:rsidP="00E57B39">
            <w:pPr>
              <w:spacing w:after="80"/>
              <w:jc w:val="left"/>
              <w:rPr>
                <w:bCs/>
                <w:iCs/>
                <w:szCs w:val="24"/>
                <w:lang w:val="en-GB"/>
              </w:rPr>
            </w:pPr>
            <w:r w:rsidRPr="001622B7">
              <w:rPr>
                <w:bCs/>
                <w:iCs/>
                <w:szCs w:val="24"/>
                <w:lang w:val="en-GB"/>
              </w:rPr>
              <w:t>Daily</w:t>
            </w:r>
          </w:p>
          <w:p w:rsidR="00826E84" w:rsidRPr="001622B7" w:rsidRDefault="00826E84" w:rsidP="00E57B39">
            <w:pPr>
              <w:spacing w:after="80"/>
              <w:jc w:val="left"/>
              <w:rPr>
                <w:bCs/>
                <w:iCs/>
                <w:szCs w:val="24"/>
                <w:lang w:val="en-GB"/>
              </w:rPr>
            </w:pPr>
          </w:p>
        </w:tc>
        <w:tc>
          <w:tcPr>
            <w:tcW w:w="3828" w:type="dxa"/>
            <w:vMerge w:val="restart"/>
            <w:tcBorders>
              <w:top w:val="single" w:sz="4" w:space="0" w:color="auto"/>
            </w:tcBorders>
          </w:tcPr>
          <w:p w:rsidR="00AA7E05" w:rsidRPr="00D01185" w:rsidRDefault="00AA1740" w:rsidP="00AA7E05">
            <w:pPr>
              <w:jc w:val="left"/>
              <w:rPr>
                <w:i/>
                <w:lang w:val="fr-FR"/>
              </w:rPr>
            </w:pPr>
            <w:r w:rsidRPr="00D01185">
              <w:rPr>
                <w:i/>
                <w:lang w:val="fr-FR"/>
              </w:rPr>
              <w:t>H. influenzae</w:t>
            </w:r>
            <w:r w:rsidR="00AA7E05" w:rsidRPr="00D01185">
              <w:rPr>
                <w:i/>
                <w:lang w:val="fr-FR"/>
              </w:rPr>
              <w:t xml:space="preserve">, </w:t>
            </w:r>
            <w:r w:rsidRPr="00D01185">
              <w:rPr>
                <w:bCs/>
                <w:i/>
                <w:lang w:val="fr-FR"/>
              </w:rPr>
              <w:t>M. catarrhalis</w:t>
            </w:r>
            <w:r w:rsidR="00AA7E05" w:rsidRPr="00D01185">
              <w:rPr>
                <w:i/>
                <w:lang w:val="fr-FR"/>
              </w:rPr>
              <w:t xml:space="preserve">, </w:t>
            </w:r>
            <w:r w:rsidRPr="00D01185">
              <w:rPr>
                <w:i/>
                <w:lang w:val="fr-FR"/>
              </w:rPr>
              <w:t>S. aureus</w:t>
            </w:r>
            <w:r w:rsidR="00AA7E05" w:rsidRPr="00D01185">
              <w:rPr>
                <w:i/>
                <w:lang w:val="fr-FR"/>
              </w:rPr>
              <w:t xml:space="preserve">, </w:t>
            </w:r>
            <w:r w:rsidRPr="00D01185">
              <w:rPr>
                <w:i/>
                <w:lang w:val="fr-FR"/>
              </w:rPr>
              <w:t>S. pneumoniae</w:t>
            </w:r>
            <w:r w:rsidR="00AA7E05" w:rsidRPr="00D01185">
              <w:rPr>
                <w:i/>
                <w:lang w:val="fr-FR"/>
              </w:rPr>
              <w:t xml:space="preserve">, </w:t>
            </w:r>
            <w:r w:rsidR="00AA7E05" w:rsidRPr="00D01185">
              <w:rPr>
                <w:lang w:val="fr-FR"/>
              </w:rPr>
              <w:t>Beta-haemolytic streptococci</w:t>
            </w:r>
          </w:p>
          <w:p w:rsidR="00AA1740" w:rsidRPr="001622B7" w:rsidRDefault="00AA1740" w:rsidP="00AA7E05">
            <w:pPr>
              <w:spacing w:after="80"/>
              <w:jc w:val="left"/>
              <w:rPr>
                <w:bCs/>
                <w:iCs/>
                <w:szCs w:val="24"/>
                <w:lang w:val="en-GB"/>
              </w:rPr>
            </w:pPr>
            <w:r w:rsidRPr="00BB0E39">
              <w:t>Other organisms in pure growth may be significant</w:t>
            </w:r>
          </w:p>
        </w:tc>
      </w:tr>
      <w:tr w:rsidR="00AA1740" w:rsidRPr="001622B7" w:rsidTr="00E57B39">
        <w:tc>
          <w:tcPr>
            <w:tcW w:w="1951" w:type="dxa"/>
            <w:vMerge/>
          </w:tcPr>
          <w:p w:rsidR="00AA1740" w:rsidRPr="001622B7" w:rsidRDefault="00AA1740" w:rsidP="00E57B39">
            <w:pPr>
              <w:spacing w:after="80"/>
              <w:jc w:val="left"/>
              <w:rPr>
                <w:bCs/>
                <w:iCs/>
                <w:szCs w:val="24"/>
                <w:lang w:val="en-GB"/>
              </w:rPr>
            </w:pPr>
          </w:p>
        </w:tc>
        <w:tc>
          <w:tcPr>
            <w:tcW w:w="1843" w:type="dxa"/>
          </w:tcPr>
          <w:p w:rsidR="00AA1740" w:rsidRPr="001622B7" w:rsidRDefault="00AA1740" w:rsidP="00E57B39">
            <w:pPr>
              <w:spacing w:after="80"/>
              <w:jc w:val="left"/>
              <w:rPr>
                <w:bCs/>
                <w:iCs/>
                <w:szCs w:val="24"/>
                <w:lang w:val="en-GB"/>
              </w:rPr>
            </w:pPr>
            <w:r w:rsidRPr="001622B7">
              <w:rPr>
                <w:bCs/>
                <w:iCs/>
                <w:szCs w:val="24"/>
                <w:lang w:val="en-GB"/>
              </w:rPr>
              <w:t>Chocolate agar</w:t>
            </w:r>
          </w:p>
        </w:tc>
        <w:tc>
          <w:tcPr>
            <w:tcW w:w="1276" w:type="dxa"/>
          </w:tcPr>
          <w:p w:rsidR="00AA1740" w:rsidRPr="001622B7" w:rsidRDefault="00AA1740" w:rsidP="00E57B39">
            <w:pPr>
              <w:spacing w:after="80"/>
              <w:jc w:val="left"/>
              <w:rPr>
                <w:bCs/>
                <w:iCs/>
                <w:szCs w:val="24"/>
                <w:lang w:val="en-GB"/>
              </w:rPr>
            </w:pPr>
            <w:r w:rsidRPr="001622B7">
              <w:rPr>
                <w:bCs/>
                <w:iCs/>
                <w:szCs w:val="24"/>
                <w:lang w:val="en-GB"/>
              </w:rPr>
              <w:t>35 – 37</w:t>
            </w:r>
          </w:p>
        </w:tc>
        <w:tc>
          <w:tcPr>
            <w:tcW w:w="1417" w:type="dxa"/>
          </w:tcPr>
          <w:p w:rsidR="00AA1740" w:rsidRPr="001622B7" w:rsidRDefault="00AA1740" w:rsidP="00E57B39">
            <w:pPr>
              <w:spacing w:after="80"/>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tcPr>
          <w:p w:rsidR="00AA1740" w:rsidRPr="001622B7" w:rsidRDefault="00516CC9" w:rsidP="00E57B39">
            <w:pPr>
              <w:spacing w:after="80"/>
              <w:jc w:val="left"/>
              <w:rPr>
                <w:bCs/>
                <w:iCs/>
                <w:szCs w:val="24"/>
                <w:lang w:val="en-GB"/>
              </w:rPr>
            </w:pPr>
            <w:r>
              <w:rPr>
                <w:bCs/>
                <w:iCs/>
                <w:szCs w:val="24"/>
                <w:lang w:val="en-GB"/>
              </w:rPr>
              <w:t xml:space="preserve">40 - </w:t>
            </w:r>
            <w:r w:rsidR="00AA1740" w:rsidRPr="001622B7">
              <w:rPr>
                <w:bCs/>
                <w:iCs/>
                <w:szCs w:val="24"/>
                <w:lang w:val="en-GB"/>
              </w:rPr>
              <w:t>48h</w:t>
            </w:r>
          </w:p>
        </w:tc>
        <w:tc>
          <w:tcPr>
            <w:tcW w:w="1559" w:type="dxa"/>
          </w:tcPr>
          <w:p w:rsidR="00AA1740" w:rsidRPr="001622B7" w:rsidRDefault="00AA1740" w:rsidP="00E57B39">
            <w:pPr>
              <w:spacing w:after="80"/>
              <w:jc w:val="left"/>
              <w:rPr>
                <w:bCs/>
                <w:iCs/>
                <w:szCs w:val="24"/>
                <w:lang w:val="en-GB"/>
              </w:rPr>
            </w:pPr>
            <w:r w:rsidRPr="001622B7">
              <w:rPr>
                <w:bCs/>
                <w:iCs/>
                <w:szCs w:val="24"/>
                <w:lang w:val="en-GB"/>
              </w:rPr>
              <w:t>Daily</w:t>
            </w:r>
          </w:p>
        </w:tc>
        <w:tc>
          <w:tcPr>
            <w:tcW w:w="3828" w:type="dxa"/>
            <w:vMerge/>
          </w:tcPr>
          <w:p w:rsidR="00AA1740" w:rsidRPr="001622B7" w:rsidRDefault="00AA1740" w:rsidP="00AA1740">
            <w:pPr>
              <w:spacing w:after="80"/>
              <w:jc w:val="left"/>
              <w:rPr>
                <w:bCs/>
                <w:iCs/>
                <w:szCs w:val="24"/>
                <w:lang w:val="en-GB"/>
              </w:rPr>
            </w:pPr>
          </w:p>
        </w:tc>
      </w:tr>
      <w:tr w:rsidR="00AA1740" w:rsidRPr="001622B7" w:rsidTr="00E57B39">
        <w:tc>
          <w:tcPr>
            <w:tcW w:w="1951" w:type="dxa"/>
          </w:tcPr>
          <w:p w:rsidR="00AA1740" w:rsidRPr="001622B7" w:rsidRDefault="00AA1740" w:rsidP="00F95AF0">
            <w:pPr>
              <w:spacing w:after="80"/>
              <w:jc w:val="left"/>
              <w:rPr>
                <w:bCs/>
                <w:iCs/>
                <w:szCs w:val="24"/>
                <w:lang w:val="en-GB"/>
              </w:rPr>
            </w:pPr>
            <w:r w:rsidRPr="001622B7">
              <w:rPr>
                <w:bCs/>
                <w:iCs/>
                <w:szCs w:val="24"/>
                <w:lang w:val="en-GB"/>
              </w:rPr>
              <w:t xml:space="preserve">If </w:t>
            </w:r>
            <w:r>
              <w:rPr>
                <w:bCs/>
                <w:iCs/>
                <w:szCs w:val="24"/>
                <w:lang w:val="en-GB"/>
              </w:rPr>
              <w:t>ICU patient or suspected hospital-acquired infection</w:t>
            </w:r>
          </w:p>
        </w:tc>
        <w:tc>
          <w:tcPr>
            <w:tcW w:w="1843" w:type="dxa"/>
          </w:tcPr>
          <w:p w:rsidR="00AA1740" w:rsidRPr="001622B7" w:rsidRDefault="00AA1740" w:rsidP="00E57B39">
            <w:pPr>
              <w:spacing w:after="80"/>
              <w:jc w:val="left"/>
              <w:rPr>
                <w:bCs/>
                <w:iCs/>
                <w:szCs w:val="24"/>
                <w:lang w:val="en-GB"/>
              </w:rPr>
            </w:pPr>
            <w:r w:rsidRPr="001622B7">
              <w:rPr>
                <w:bCs/>
                <w:iCs/>
                <w:szCs w:val="24"/>
                <w:lang w:val="en-GB"/>
              </w:rPr>
              <w:t>MacConkey agar</w:t>
            </w:r>
          </w:p>
        </w:tc>
        <w:tc>
          <w:tcPr>
            <w:tcW w:w="1276" w:type="dxa"/>
          </w:tcPr>
          <w:p w:rsidR="00AA1740" w:rsidRPr="001622B7" w:rsidRDefault="00AA1740" w:rsidP="00E57B39">
            <w:pPr>
              <w:spacing w:after="80"/>
              <w:jc w:val="left"/>
              <w:rPr>
                <w:bCs/>
                <w:iCs/>
                <w:szCs w:val="24"/>
                <w:lang w:val="en-GB"/>
              </w:rPr>
            </w:pPr>
            <w:r w:rsidRPr="001622B7">
              <w:rPr>
                <w:bCs/>
                <w:iCs/>
                <w:szCs w:val="24"/>
                <w:lang w:val="en-GB"/>
              </w:rPr>
              <w:t>35 – 37</w:t>
            </w:r>
          </w:p>
        </w:tc>
        <w:tc>
          <w:tcPr>
            <w:tcW w:w="1417" w:type="dxa"/>
          </w:tcPr>
          <w:p w:rsidR="00AA1740" w:rsidRPr="001622B7" w:rsidRDefault="00AA1740" w:rsidP="00E57B39">
            <w:pPr>
              <w:spacing w:after="80"/>
              <w:jc w:val="left"/>
              <w:rPr>
                <w:bCs/>
                <w:iCs/>
                <w:szCs w:val="24"/>
                <w:vertAlign w:val="subscript"/>
                <w:lang w:val="en-GB"/>
              </w:rPr>
            </w:pPr>
            <w:r w:rsidRPr="001622B7">
              <w:rPr>
                <w:bCs/>
                <w:iCs/>
                <w:szCs w:val="24"/>
                <w:lang w:val="en-GB"/>
              </w:rPr>
              <w:t>Air</w:t>
            </w:r>
          </w:p>
        </w:tc>
        <w:tc>
          <w:tcPr>
            <w:tcW w:w="1134" w:type="dxa"/>
          </w:tcPr>
          <w:p w:rsidR="00AA1740" w:rsidRPr="001622B7" w:rsidRDefault="00516CC9" w:rsidP="00E57B39">
            <w:pPr>
              <w:spacing w:after="80"/>
              <w:jc w:val="left"/>
              <w:rPr>
                <w:bCs/>
                <w:iCs/>
                <w:szCs w:val="24"/>
                <w:lang w:val="en-GB"/>
              </w:rPr>
            </w:pPr>
            <w:r>
              <w:rPr>
                <w:bCs/>
                <w:iCs/>
                <w:szCs w:val="24"/>
                <w:lang w:val="en-GB"/>
              </w:rPr>
              <w:t xml:space="preserve">40 - </w:t>
            </w:r>
            <w:r w:rsidR="00AA1740" w:rsidRPr="001622B7">
              <w:rPr>
                <w:bCs/>
                <w:iCs/>
                <w:szCs w:val="24"/>
                <w:lang w:val="en-GB"/>
              </w:rPr>
              <w:t>48h</w:t>
            </w:r>
          </w:p>
        </w:tc>
        <w:tc>
          <w:tcPr>
            <w:tcW w:w="1559" w:type="dxa"/>
          </w:tcPr>
          <w:p w:rsidR="00AA1740" w:rsidRPr="001622B7" w:rsidRDefault="00AA1740" w:rsidP="00E57B39">
            <w:pPr>
              <w:spacing w:after="80"/>
              <w:jc w:val="left"/>
              <w:rPr>
                <w:bCs/>
                <w:iCs/>
                <w:szCs w:val="24"/>
                <w:lang w:val="en-GB"/>
              </w:rPr>
            </w:pPr>
            <w:r w:rsidRPr="001622B7">
              <w:rPr>
                <w:bCs/>
                <w:iCs/>
                <w:szCs w:val="24"/>
                <w:lang w:val="en-GB"/>
              </w:rPr>
              <w:t>Daily</w:t>
            </w:r>
          </w:p>
        </w:tc>
        <w:tc>
          <w:tcPr>
            <w:tcW w:w="3828" w:type="dxa"/>
          </w:tcPr>
          <w:p w:rsidR="00AA1740" w:rsidRPr="001622B7" w:rsidRDefault="00AA1740" w:rsidP="00E57B39">
            <w:pPr>
              <w:spacing w:after="80"/>
              <w:jc w:val="left"/>
              <w:rPr>
                <w:szCs w:val="24"/>
                <w:lang w:val="en-GB" w:bidi="th-TH"/>
              </w:rPr>
            </w:pPr>
            <w:r w:rsidRPr="001622B7">
              <w:rPr>
                <w:szCs w:val="24"/>
                <w:lang w:val="en-GB" w:bidi="th-TH"/>
              </w:rPr>
              <w:t>Enterobacteriaceae</w:t>
            </w:r>
          </w:p>
          <w:p w:rsidR="00AA1740" w:rsidRPr="001622B7" w:rsidRDefault="00AA1740" w:rsidP="00E57B39">
            <w:pPr>
              <w:spacing w:after="80"/>
              <w:jc w:val="left"/>
              <w:rPr>
                <w:bCs/>
                <w:iCs/>
                <w:szCs w:val="24"/>
                <w:lang w:val="en-GB"/>
              </w:rPr>
            </w:pPr>
            <w:r w:rsidRPr="001622B7">
              <w:rPr>
                <w:szCs w:val="24"/>
                <w:lang w:val="en-GB" w:bidi="th-TH"/>
              </w:rPr>
              <w:t>Pseudomonads</w:t>
            </w:r>
          </w:p>
        </w:tc>
      </w:tr>
      <w:tr w:rsidR="00AA1740" w:rsidRPr="001622B7" w:rsidTr="00E57B39">
        <w:tc>
          <w:tcPr>
            <w:tcW w:w="1951" w:type="dxa"/>
          </w:tcPr>
          <w:p w:rsidR="00AA1740" w:rsidRPr="001622B7" w:rsidRDefault="00AA1740" w:rsidP="00E57B39">
            <w:pPr>
              <w:spacing w:after="80"/>
              <w:jc w:val="left"/>
              <w:rPr>
                <w:bCs/>
                <w:iCs/>
                <w:szCs w:val="24"/>
                <w:lang w:val="en-GB"/>
              </w:rPr>
            </w:pPr>
            <w:r w:rsidRPr="001622B7">
              <w:rPr>
                <w:bCs/>
                <w:iCs/>
                <w:szCs w:val="24"/>
                <w:lang w:val="en-GB"/>
              </w:rPr>
              <w:t xml:space="preserve">If </w:t>
            </w:r>
            <w:r>
              <w:rPr>
                <w:bCs/>
                <w:iCs/>
                <w:szCs w:val="24"/>
                <w:lang w:val="en-GB"/>
              </w:rPr>
              <w:t xml:space="preserve">yeast or </w:t>
            </w:r>
            <w:r w:rsidRPr="001622B7">
              <w:rPr>
                <w:bCs/>
                <w:iCs/>
                <w:szCs w:val="24"/>
                <w:lang w:val="en-GB"/>
              </w:rPr>
              <w:t>fungal elements seen</w:t>
            </w:r>
            <w:r>
              <w:rPr>
                <w:bCs/>
                <w:iCs/>
                <w:szCs w:val="24"/>
                <w:lang w:val="en-GB"/>
              </w:rPr>
              <w:t xml:space="preserve"> or suspected fungal infection</w:t>
            </w:r>
          </w:p>
        </w:tc>
        <w:tc>
          <w:tcPr>
            <w:tcW w:w="1843" w:type="dxa"/>
          </w:tcPr>
          <w:p w:rsidR="00AA1740" w:rsidRPr="001622B7" w:rsidRDefault="00AA1740" w:rsidP="00E57B39">
            <w:pPr>
              <w:spacing w:after="80"/>
              <w:jc w:val="left"/>
              <w:rPr>
                <w:bCs/>
                <w:iCs/>
                <w:szCs w:val="24"/>
                <w:lang w:val="en-GB"/>
              </w:rPr>
            </w:pPr>
            <w:r w:rsidRPr="001622B7">
              <w:rPr>
                <w:bCs/>
                <w:iCs/>
                <w:szCs w:val="24"/>
                <w:lang w:val="en-GB"/>
              </w:rPr>
              <w:t>Sabouraud agar</w:t>
            </w:r>
          </w:p>
        </w:tc>
        <w:tc>
          <w:tcPr>
            <w:tcW w:w="1276" w:type="dxa"/>
          </w:tcPr>
          <w:p w:rsidR="00AA1740" w:rsidRPr="001622B7" w:rsidRDefault="00AA1740" w:rsidP="00E57B39">
            <w:pPr>
              <w:spacing w:after="80"/>
              <w:jc w:val="left"/>
              <w:rPr>
                <w:bCs/>
                <w:iCs/>
                <w:szCs w:val="24"/>
                <w:lang w:val="en-GB"/>
              </w:rPr>
            </w:pPr>
            <w:r w:rsidRPr="001622B7">
              <w:rPr>
                <w:bCs/>
                <w:iCs/>
                <w:szCs w:val="24"/>
                <w:lang w:val="en-GB"/>
              </w:rPr>
              <w:t>35 – 37</w:t>
            </w:r>
          </w:p>
        </w:tc>
        <w:tc>
          <w:tcPr>
            <w:tcW w:w="1417" w:type="dxa"/>
          </w:tcPr>
          <w:p w:rsidR="00AA1740" w:rsidRPr="001622B7" w:rsidRDefault="00AA1740" w:rsidP="00E57B39">
            <w:pPr>
              <w:spacing w:after="80"/>
              <w:jc w:val="left"/>
              <w:rPr>
                <w:bCs/>
                <w:iCs/>
                <w:szCs w:val="24"/>
                <w:vertAlign w:val="subscript"/>
                <w:lang w:val="en-GB"/>
              </w:rPr>
            </w:pPr>
            <w:r w:rsidRPr="001622B7">
              <w:rPr>
                <w:bCs/>
                <w:iCs/>
                <w:szCs w:val="24"/>
                <w:lang w:val="en-GB"/>
              </w:rPr>
              <w:t>Air</w:t>
            </w:r>
          </w:p>
        </w:tc>
        <w:tc>
          <w:tcPr>
            <w:tcW w:w="1134" w:type="dxa"/>
          </w:tcPr>
          <w:p w:rsidR="00AA1740" w:rsidRPr="001622B7" w:rsidRDefault="00516CC9" w:rsidP="00E57B39">
            <w:pPr>
              <w:spacing w:after="80"/>
              <w:jc w:val="left"/>
              <w:rPr>
                <w:bCs/>
                <w:iCs/>
                <w:szCs w:val="24"/>
                <w:lang w:val="en-GB"/>
              </w:rPr>
            </w:pPr>
            <w:r>
              <w:rPr>
                <w:bCs/>
                <w:iCs/>
                <w:szCs w:val="24"/>
                <w:lang w:val="en-GB"/>
              </w:rPr>
              <w:t xml:space="preserve">40 - </w:t>
            </w:r>
            <w:r w:rsidR="00AA1740" w:rsidRPr="001622B7">
              <w:rPr>
                <w:bCs/>
                <w:iCs/>
                <w:szCs w:val="24"/>
                <w:lang w:val="en-GB"/>
              </w:rPr>
              <w:t>48h</w:t>
            </w:r>
          </w:p>
        </w:tc>
        <w:tc>
          <w:tcPr>
            <w:tcW w:w="1559" w:type="dxa"/>
          </w:tcPr>
          <w:p w:rsidR="00AA1740" w:rsidRPr="001622B7" w:rsidRDefault="00AA1740" w:rsidP="00E57B39">
            <w:pPr>
              <w:spacing w:after="80"/>
              <w:jc w:val="left"/>
              <w:rPr>
                <w:bCs/>
                <w:iCs/>
                <w:szCs w:val="24"/>
                <w:lang w:val="en-GB"/>
              </w:rPr>
            </w:pPr>
            <w:r w:rsidRPr="001622B7">
              <w:rPr>
                <w:bCs/>
                <w:iCs/>
                <w:szCs w:val="24"/>
                <w:lang w:val="en-GB"/>
              </w:rPr>
              <w:t>Daily</w:t>
            </w:r>
          </w:p>
        </w:tc>
        <w:tc>
          <w:tcPr>
            <w:tcW w:w="3828" w:type="dxa"/>
          </w:tcPr>
          <w:p w:rsidR="00AA1740" w:rsidRPr="001622B7" w:rsidRDefault="00AA1740" w:rsidP="00E57B39">
            <w:pPr>
              <w:spacing w:after="80"/>
              <w:jc w:val="left"/>
              <w:rPr>
                <w:bCs/>
                <w:iCs/>
                <w:szCs w:val="24"/>
                <w:lang w:val="en-GB"/>
              </w:rPr>
            </w:pPr>
            <w:r w:rsidRPr="001622B7">
              <w:rPr>
                <w:bCs/>
                <w:iCs/>
                <w:szCs w:val="24"/>
                <w:lang w:val="en-GB"/>
              </w:rPr>
              <w:t>Fungi</w:t>
            </w:r>
          </w:p>
        </w:tc>
      </w:tr>
      <w:tr w:rsidR="00AA1740" w:rsidRPr="001622B7" w:rsidTr="00E57B39">
        <w:tc>
          <w:tcPr>
            <w:tcW w:w="1951" w:type="dxa"/>
          </w:tcPr>
          <w:p w:rsidR="00AA1740" w:rsidRPr="001622B7" w:rsidRDefault="00AA1740" w:rsidP="00AA1740">
            <w:pPr>
              <w:spacing w:after="80"/>
              <w:jc w:val="left"/>
              <w:rPr>
                <w:bCs/>
                <w:iCs/>
                <w:szCs w:val="24"/>
                <w:vertAlign w:val="superscript"/>
                <w:lang w:val="en-GB"/>
              </w:rPr>
            </w:pPr>
            <w:r w:rsidRPr="001622B7">
              <w:rPr>
                <w:bCs/>
                <w:iCs/>
                <w:szCs w:val="24"/>
                <w:lang w:val="en-GB"/>
              </w:rPr>
              <w:t>If ?melioid</w:t>
            </w:r>
          </w:p>
        </w:tc>
        <w:tc>
          <w:tcPr>
            <w:tcW w:w="1843" w:type="dxa"/>
          </w:tcPr>
          <w:p w:rsidR="00AA1740" w:rsidRPr="001622B7" w:rsidRDefault="00AA1740" w:rsidP="00E57B39">
            <w:pPr>
              <w:spacing w:after="80"/>
              <w:jc w:val="left"/>
              <w:rPr>
                <w:bCs/>
                <w:iCs/>
                <w:szCs w:val="24"/>
                <w:lang w:val="en-GB"/>
              </w:rPr>
            </w:pPr>
            <w:r w:rsidRPr="001622B7">
              <w:rPr>
                <w:bCs/>
                <w:iCs/>
                <w:szCs w:val="24"/>
                <w:lang w:val="en-GB"/>
              </w:rPr>
              <w:t>ASH</w:t>
            </w:r>
          </w:p>
          <w:p w:rsidR="00AA1740" w:rsidRPr="001622B7" w:rsidRDefault="00AA1740" w:rsidP="00E57B39">
            <w:pPr>
              <w:spacing w:after="80"/>
              <w:jc w:val="left"/>
              <w:rPr>
                <w:bCs/>
                <w:iCs/>
                <w:szCs w:val="24"/>
                <w:lang w:val="en-GB"/>
              </w:rPr>
            </w:pPr>
            <w:r w:rsidRPr="001622B7">
              <w:rPr>
                <w:bCs/>
                <w:iCs/>
                <w:szCs w:val="24"/>
                <w:lang w:val="en-GB"/>
              </w:rPr>
              <w:t>SB</w:t>
            </w:r>
          </w:p>
        </w:tc>
        <w:tc>
          <w:tcPr>
            <w:tcW w:w="1276" w:type="dxa"/>
          </w:tcPr>
          <w:p w:rsidR="00AA1740" w:rsidRPr="001622B7" w:rsidRDefault="00AA1740" w:rsidP="00E57B39">
            <w:pPr>
              <w:spacing w:after="80"/>
              <w:jc w:val="left"/>
              <w:rPr>
                <w:bCs/>
                <w:iCs/>
                <w:szCs w:val="24"/>
                <w:lang w:val="en-GB"/>
              </w:rPr>
            </w:pPr>
            <w:r w:rsidRPr="001622B7">
              <w:rPr>
                <w:bCs/>
                <w:iCs/>
                <w:szCs w:val="24"/>
                <w:lang w:val="en-GB"/>
              </w:rPr>
              <w:t>35 – 37</w:t>
            </w:r>
          </w:p>
        </w:tc>
        <w:tc>
          <w:tcPr>
            <w:tcW w:w="1417" w:type="dxa"/>
          </w:tcPr>
          <w:p w:rsidR="00AA1740" w:rsidRPr="001622B7" w:rsidRDefault="00AA1740" w:rsidP="00E57B39">
            <w:pPr>
              <w:spacing w:after="80"/>
              <w:jc w:val="left"/>
              <w:rPr>
                <w:bCs/>
                <w:iCs/>
                <w:szCs w:val="24"/>
                <w:lang w:val="en-GB"/>
              </w:rPr>
            </w:pPr>
            <w:r w:rsidRPr="001622B7">
              <w:rPr>
                <w:bCs/>
                <w:iCs/>
                <w:szCs w:val="24"/>
                <w:lang w:val="en-GB"/>
              </w:rPr>
              <w:t>Air</w:t>
            </w:r>
          </w:p>
        </w:tc>
        <w:tc>
          <w:tcPr>
            <w:tcW w:w="1134" w:type="dxa"/>
          </w:tcPr>
          <w:p w:rsidR="00AA1740" w:rsidRPr="00A47A0F" w:rsidRDefault="00AA1740" w:rsidP="00AA1740">
            <w:pPr>
              <w:spacing w:after="80"/>
              <w:jc w:val="left"/>
              <w:rPr>
                <w:bCs/>
                <w:iCs/>
                <w:sz w:val="20"/>
                <w:lang w:val="en-GB"/>
              </w:rPr>
            </w:pPr>
            <w:r w:rsidRPr="00A47A0F">
              <w:rPr>
                <w:bCs/>
                <w:iCs/>
                <w:sz w:val="20"/>
                <w:lang w:val="en-GB"/>
              </w:rPr>
              <w:t>48h (Sub SB to ASH at 48h)</w:t>
            </w:r>
          </w:p>
        </w:tc>
        <w:tc>
          <w:tcPr>
            <w:tcW w:w="1559" w:type="dxa"/>
          </w:tcPr>
          <w:p w:rsidR="00AA1740" w:rsidRPr="001622B7" w:rsidRDefault="00AA1740" w:rsidP="00E57B39">
            <w:pPr>
              <w:spacing w:after="80"/>
              <w:jc w:val="left"/>
              <w:rPr>
                <w:bCs/>
                <w:iCs/>
                <w:szCs w:val="24"/>
                <w:lang w:val="en-GB"/>
              </w:rPr>
            </w:pPr>
            <w:r w:rsidRPr="001622B7">
              <w:rPr>
                <w:bCs/>
                <w:iCs/>
                <w:szCs w:val="24"/>
                <w:lang w:val="en-GB"/>
              </w:rPr>
              <w:t>Daily</w:t>
            </w:r>
          </w:p>
        </w:tc>
        <w:tc>
          <w:tcPr>
            <w:tcW w:w="3828" w:type="dxa"/>
          </w:tcPr>
          <w:p w:rsidR="00AA1740" w:rsidRPr="001622B7" w:rsidRDefault="00AA1740" w:rsidP="00E57B39">
            <w:pPr>
              <w:spacing w:after="80"/>
              <w:jc w:val="left"/>
              <w:rPr>
                <w:bCs/>
                <w:i/>
                <w:szCs w:val="24"/>
                <w:lang w:val="en-GB"/>
              </w:rPr>
            </w:pPr>
            <w:r w:rsidRPr="001622B7">
              <w:rPr>
                <w:bCs/>
                <w:i/>
                <w:szCs w:val="24"/>
                <w:lang w:val="en-GB"/>
              </w:rPr>
              <w:t>B. pseudomallei</w:t>
            </w:r>
          </w:p>
        </w:tc>
      </w:tr>
    </w:tbl>
    <w:p w:rsidR="00AA1740" w:rsidRDefault="00AA1740" w:rsidP="0001221C">
      <w:pPr>
        <w:pStyle w:val="Heading1"/>
        <w:rPr>
          <w:lang w:val="en-GB"/>
        </w:rPr>
        <w:sectPr w:rsidR="00AA1740" w:rsidSect="00AA1740">
          <w:pgSz w:w="15840" w:h="12240" w:orient="landscape"/>
          <w:pgMar w:top="1800" w:right="1440" w:bottom="1800" w:left="1440" w:header="708" w:footer="708" w:gutter="0"/>
          <w:cols w:space="708"/>
          <w:docGrid w:linePitch="326"/>
        </w:sectPr>
      </w:pPr>
    </w:p>
    <w:p w:rsidR="00BF4A7B" w:rsidRDefault="00BF4A7B" w:rsidP="0001221C">
      <w:pPr>
        <w:pStyle w:val="Heading1"/>
        <w:rPr>
          <w:lang w:val="en-GB"/>
        </w:rPr>
      </w:pPr>
      <w:r w:rsidRPr="00983F5B">
        <w:rPr>
          <w:lang w:val="en-GB"/>
        </w:rPr>
        <w:t>Interpretation</w:t>
      </w:r>
    </w:p>
    <w:p w:rsidR="00654EBC" w:rsidRPr="00093BA1" w:rsidRDefault="00654EBC" w:rsidP="00654EBC">
      <w:pPr>
        <w:rPr>
          <w:lang w:val="en-GB"/>
        </w:rPr>
      </w:pPr>
      <w:r w:rsidRPr="00093BA1">
        <w:rPr>
          <w:lang w:val="en-GB"/>
        </w:rPr>
        <w:t xml:space="preserve">Record </w:t>
      </w:r>
      <w:r>
        <w:rPr>
          <w:lang w:val="en-GB"/>
        </w:rPr>
        <w:t xml:space="preserve">the </w:t>
      </w:r>
      <w:r w:rsidRPr="00093BA1">
        <w:rPr>
          <w:lang w:val="en-GB"/>
        </w:rPr>
        <w:t>semi-quantita</w:t>
      </w:r>
      <w:r w:rsidR="0001221C">
        <w:rPr>
          <w:lang w:val="en-GB"/>
        </w:rPr>
        <w:t xml:space="preserve">tive growth of </w:t>
      </w:r>
      <w:r w:rsidR="00AA1740">
        <w:rPr>
          <w:lang w:val="en-GB"/>
        </w:rPr>
        <w:t>all</w:t>
      </w:r>
      <w:r w:rsidR="0001221C">
        <w:rPr>
          <w:lang w:val="en-GB"/>
        </w:rPr>
        <w:t xml:space="preserve"> </w:t>
      </w:r>
      <w:r>
        <w:rPr>
          <w:lang w:val="en-GB"/>
        </w:rPr>
        <w:t>colon</w:t>
      </w:r>
      <w:r w:rsidR="0001221C">
        <w:rPr>
          <w:lang w:val="en-GB"/>
        </w:rPr>
        <w:t>ies</w:t>
      </w:r>
      <w:r>
        <w:rPr>
          <w:lang w:val="en-GB"/>
        </w:rPr>
        <w:t xml:space="preserve"> (i.e. +/- to ++++).</w:t>
      </w:r>
    </w:p>
    <w:p w:rsidR="00BF4A7B" w:rsidRPr="00983F5B" w:rsidRDefault="00BF4A7B" w:rsidP="00BF4A7B">
      <w:pPr>
        <w:pStyle w:val="Heading2"/>
        <w:rPr>
          <w:lang w:val="en-GB"/>
        </w:rPr>
      </w:pPr>
      <w:r w:rsidRPr="00983F5B">
        <w:rPr>
          <w:lang w:val="en-GB"/>
        </w:rPr>
        <w:t>Minimum level of identification in the laboratory</w:t>
      </w:r>
    </w:p>
    <w:p w:rsidR="00050F5A" w:rsidRPr="00093BA1" w:rsidRDefault="00050F5A" w:rsidP="00050F5A">
      <w:pPr>
        <w:rPr>
          <w:lang w:val="en-GB"/>
        </w:rPr>
      </w:pPr>
      <w:r w:rsidRPr="00093BA1">
        <w:rPr>
          <w:lang w:val="en-GB"/>
        </w:rPr>
        <w:t>In general significant isolates should be identified as fully as possible: potentially significant organisms are summarised in SOP MID-004.</w:t>
      </w:r>
    </w:p>
    <w:p w:rsidR="00050F5A" w:rsidRDefault="00890C79" w:rsidP="00995F6B">
      <w:pPr>
        <w:rPr>
          <w:lang w:val="en-GB"/>
        </w:rPr>
      </w:pPr>
      <w:r>
        <w:rPr>
          <w:lang w:val="en-GB"/>
        </w:rPr>
        <w:t>S</w:t>
      </w:r>
      <w:r w:rsidR="00C958D2">
        <w:rPr>
          <w:lang w:val="en-GB"/>
        </w:rPr>
        <w:t>ignificant isolates:</w:t>
      </w:r>
    </w:p>
    <w:p w:rsidR="00995F6B" w:rsidRPr="00AA7E05" w:rsidRDefault="00AA7E05" w:rsidP="00AA7E05">
      <w:pPr>
        <w:pStyle w:val="ListParagraph"/>
        <w:numPr>
          <w:ilvl w:val="0"/>
          <w:numId w:val="14"/>
        </w:numPr>
        <w:rPr>
          <w:lang w:val="en-GB"/>
        </w:rPr>
      </w:pPr>
      <w:r>
        <w:rPr>
          <w:i/>
          <w:lang w:val="en-GB"/>
        </w:rPr>
        <w:t>S. pneumoniae</w:t>
      </w:r>
    </w:p>
    <w:p w:rsidR="00AA7E05" w:rsidRPr="00AA7E05" w:rsidRDefault="00AA7E05" w:rsidP="00AA7E05">
      <w:pPr>
        <w:pStyle w:val="ListParagraph"/>
        <w:numPr>
          <w:ilvl w:val="0"/>
          <w:numId w:val="14"/>
        </w:numPr>
        <w:rPr>
          <w:lang w:val="en-GB"/>
        </w:rPr>
      </w:pPr>
      <w:r>
        <w:rPr>
          <w:i/>
          <w:lang w:val="en-GB"/>
        </w:rPr>
        <w:t>S. aureus</w:t>
      </w:r>
    </w:p>
    <w:p w:rsidR="00AA7E05" w:rsidRPr="00AA7E05" w:rsidRDefault="00AA7E05" w:rsidP="00AA7E05">
      <w:pPr>
        <w:pStyle w:val="ListParagraph"/>
        <w:numPr>
          <w:ilvl w:val="0"/>
          <w:numId w:val="14"/>
        </w:numPr>
        <w:rPr>
          <w:lang w:val="en-GB"/>
        </w:rPr>
      </w:pPr>
      <w:r>
        <w:rPr>
          <w:i/>
          <w:lang w:val="en-GB"/>
        </w:rPr>
        <w:t>H. influenzae</w:t>
      </w:r>
    </w:p>
    <w:p w:rsidR="00AA7E05" w:rsidRPr="00AA7E05" w:rsidRDefault="00AA7E05" w:rsidP="00AA7E05">
      <w:pPr>
        <w:pStyle w:val="ListParagraph"/>
        <w:numPr>
          <w:ilvl w:val="0"/>
          <w:numId w:val="14"/>
        </w:numPr>
        <w:rPr>
          <w:lang w:val="en-GB"/>
        </w:rPr>
      </w:pPr>
      <w:r>
        <w:rPr>
          <w:i/>
          <w:lang w:val="en-GB"/>
        </w:rPr>
        <w:t>M. catarrhalis</w:t>
      </w:r>
    </w:p>
    <w:p w:rsidR="00AA7E05" w:rsidRDefault="00AA7E05" w:rsidP="00AA7E05">
      <w:pPr>
        <w:pStyle w:val="ListParagraph"/>
        <w:numPr>
          <w:ilvl w:val="0"/>
          <w:numId w:val="14"/>
        </w:numPr>
        <w:rPr>
          <w:lang w:val="en-GB"/>
        </w:rPr>
      </w:pPr>
      <w:r>
        <w:rPr>
          <w:lang w:val="en-GB"/>
        </w:rPr>
        <w:t>Group A, C, and G beta-haemolytic streptococci</w:t>
      </w:r>
    </w:p>
    <w:p w:rsidR="00AA7E05" w:rsidRPr="00AA7E05" w:rsidRDefault="00AA7E05" w:rsidP="00AA7E05">
      <w:pPr>
        <w:pStyle w:val="ListParagraph"/>
        <w:numPr>
          <w:ilvl w:val="0"/>
          <w:numId w:val="14"/>
        </w:numPr>
        <w:rPr>
          <w:lang w:val="en-GB"/>
        </w:rPr>
      </w:pPr>
      <w:r>
        <w:rPr>
          <w:i/>
          <w:lang w:val="en-GB"/>
        </w:rPr>
        <w:t>B. pseudomallei</w:t>
      </w:r>
    </w:p>
    <w:p w:rsidR="00AA7E05" w:rsidRDefault="00AA7E05" w:rsidP="00AA7E05">
      <w:pPr>
        <w:pStyle w:val="ListParagraph"/>
        <w:numPr>
          <w:ilvl w:val="0"/>
          <w:numId w:val="14"/>
        </w:numPr>
        <w:rPr>
          <w:lang w:val="en-GB"/>
        </w:rPr>
      </w:pPr>
      <w:r>
        <w:rPr>
          <w:lang w:val="en-GB"/>
        </w:rPr>
        <w:t>Yeasts should be reported at the “yeasts” level</w:t>
      </w:r>
    </w:p>
    <w:p w:rsidR="00734404" w:rsidRDefault="00734404" w:rsidP="00AA7E05">
      <w:pPr>
        <w:pStyle w:val="ListParagraph"/>
        <w:numPr>
          <w:ilvl w:val="0"/>
          <w:numId w:val="14"/>
        </w:numPr>
        <w:rPr>
          <w:lang w:val="en-GB"/>
        </w:rPr>
      </w:pPr>
      <w:r>
        <w:rPr>
          <w:lang w:val="en-GB"/>
        </w:rPr>
        <w:t>Moulds should be identified to species level if possible (lactophenol blue sellotape prep)</w:t>
      </w:r>
    </w:p>
    <w:p w:rsidR="006F656B" w:rsidRDefault="006F656B" w:rsidP="00AA7E05">
      <w:pPr>
        <w:pStyle w:val="ListParagraph"/>
        <w:numPr>
          <w:ilvl w:val="0"/>
          <w:numId w:val="14"/>
        </w:numPr>
        <w:rPr>
          <w:lang w:val="en-GB"/>
        </w:rPr>
      </w:pPr>
      <w:r>
        <w:rPr>
          <w:rFonts w:cs="HMEKHK+Arial"/>
          <w:color w:val="000000"/>
          <w:sz w:val="23"/>
          <w:szCs w:val="23"/>
        </w:rPr>
        <w:t xml:space="preserve">Generally (especially in patients without chronic lung disease), coliforms, pseudomonads, and other Gram negative non-fermenters (e.g. </w:t>
      </w:r>
      <w:r>
        <w:rPr>
          <w:rFonts w:cs="HMEKHK+Arial"/>
          <w:i/>
          <w:color w:val="000000"/>
          <w:sz w:val="23"/>
          <w:szCs w:val="23"/>
        </w:rPr>
        <w:t xml:space="preserve">Acinetobacter </w:t>
      </w:r>
      <w:r>
        <w:rPr>
          <w:rFonts w:cs="HMEKHK+Arial"/>
          <w:color w:val="000000"/>
          <w:sz w:val="23"/>
          <w:szCs w:val="23"/>
        </w:rPr>
        <w:t xml:space="preserve">spp., </w:t>
      </w:r>
      <w:r>
        <w:rPr>
          <w:rFonts w:cs="HMEKHK+Arial"/>
          <w:i/>
          <w:color w:val="000000"/>
          <w:sz w:val="23"/>
          <w:szCs w:val="23"/>
        </w:rPr>
        <w:t xml:space="preserve">B. cepacia, </w:t>
      </w:r>
      <w:r>
        <w:rPr>
          <w:rFonts w:cs="HMEKHK+Arial"/>
          <w:color w:val="000000"/>
          <w:sz w:val="23"/>
          <w:szCs w:val="23"/>
        </w:rPr>
        <w:t xml:space="preserve">and </w:t>
      </w:r>
      <w:r>
        <w:rPr>
          <w:rFonts w:cs="HMEKHK+Arial"/>
          <w:i/>
          <w:color w:val="000000"/>
          <w:sz w:val="23"/>
          <w:szCs w:val="23"/>
        </w:rPr>
        <w:t xml:space="preserve">Stenotrophomonas </w:t>
      </w:r>
      <w:r w:rsidRPr="006F656B">
        <w:rPr>
          <w:rFonts w:cs="HMEKHK+Arial"/>
          <w:i/>
          <w:color w:val="000000"/>
          <w:sz w:val="23"/>
          <w:szCs w:val="23"/>
        </w:rPr>
        <w:t>maltophilia</w:t>
      </w:r>
      <w:r>
        <w:rPr>
          <w:rFonts w:cs="HMEKHK+Arial"/>
          <w:color w:val="000000"/>
          <w:sz w:val="23"/>
          <w:szCs w:val="23"/>
        </w:rPr>
        <w:t xml:space="preserve">) </w:t>
      </w:r>
      <w:r w:rsidRPr="006F656B">
        <w:rPr>
          <w:rFonts w:cs="HMEKHK+Arial"/>
          <w:color w:val="000000"/>
          <w:sz w:val="23"/>
          <w:szCs w:val="23"/>
        </w:rPr>
        <w:t>are</w:t>
      </w:r>
      <w:r>
        <w:rPr>
          <w:rFonts w:cs="HMEKHK+Arial"/>
          <w:color w:val="000000"/>
          <w:sz w:val="23"/>
          <w:szCs w:val="23"/>
        </w:rPr>
        <w:t xml:space="preserve"> only possibly significant when present in moderate to large numbers, when in pure growth or when they are the predominant organism in a mixed culture.</w:t>
      </w:r>
    </w:p>
    <w:p w:rsidR="00D16D65" w:rsidRPr="00D16D65" w:rsidRDefault="00D16D65" w:rsidP="00D16D65">
      <w:pPr>
        <w:rPr>
          <w:lang w:val="en-GB"/>
        </w:rPr>
      </w:pPr>
      <w:r>
        <w:rPr>
          <w:lang w:val="en-GB"/>
        </w:rPr>
        <w:t>Heavily mixed cultures should be interpreted with caution (interpret in conjunction with Gram stain result): the presence of many epithelial cells implies upper respiratory tract contamination.</w:t>
      </w:r>
    </w:p>
    <w:p w:rsidR="00BF4A7B" w:rsidRPr="00983F5B" w:rsidRDefault="00BF4A7B" w:rsidP="00BF4A7B">
      <w:pPr>
        <w:pStyle w:val="Heading2"/>
        <w:rPr>
          <w:lang w:val="en-GB"/>
        </w:rPr>
      </w:pPr>
      <w:r w:rsidRPr="00983F5B">
        <w:rPr>
          <w:lang w:val="en-GB"/>
        </w:rPr>
        <w:t>Antimicrobial susceptibility testing</w:t>
      </w:r>
    </w:p>
    <w:p w:rsidR="00BF4A7B" w:rsidRPr="00983F5B" w:rsidRDefault="00BF4A7B" w:rsidP="00BF4A7B">
      <w:pPr>
        <w:rPr>
          <w:lang w:val="en-GB"/>
        </w:rPr>
      </w:pPr>
      <w:r w:rsidRPr="00983F5B">
        <w:rPr>
          <w:lang w:val="en-GB"/>
        </w:rPr>
        <w:t xml:space="preserve">All </w:t>
      </w:r>
      <w:r w:rsidR="00050F5A">
        <w:rPr>
          <w:lang w:val="en-GB"/>
        </w:rPr>
        <w:t xml:space="preserve">significant </w:t>
      </w:r>
      <w:r w:rsidRPr="00983F5B">
        <w:rPr>
          <w:lang w:val="en-GB"/>
        </w:rPr>
        <w:t xml:space="preserve">isolates should have antimicrobial susceptibilities determined according to SOP </w:t>
      </w:r>
      <w:r w:rsidR="007740D7">
        <w:rPr>
          <w:lang w:val="en-GB"/>
        </w:rPr>
        <w:t>MIC-001</w:t>
      </w:r>
      <w:r w:rsidRPr="00983F5B">
        <w:rPr>
          <w:lang w:val="en-GB"/>
        </w:rPr>
        <w:t>.</w:t>
      </w:r>
    </w:p>
    <w:p w:rsidR="00BF4A7B" w:rsidRDefault="00BF4A7B" w:rsidP="00BF4A7B">
      <w:pPr>
        <w:pStyle w:val="Heading2"/>
        <w:rPr>
          <w:lang w:val="en-GB"/>
        </w:rPr>
      </w:pPr>
      <w:r w:rsidRPr="00983F5B">
        <w:rPr>
          <w:lang w:val="en-GB"/>
        </w:rPr>
        <w:t>Reporting</w:t>
      </w:r>
    </w:p>
    <w:p w:rsidR="00C53FAB" w:rsidRDefault="00C53FAB" w:rsidP="00050F5A">
      <w:r>
        <w:t>If the sputum was salivary, comment “Poor quality specimen/salivary specimen received. Please repeat if clinically indicated”.</w:t>
      </w:r>
    </w:p>
    <w:p w:rsidR="00050F5A" w:rsidRDefault="00050F5A" w:rsidP="00050F5A">
      <w:r w:rsidRPr="00A2583C">
        <w:t xml:space="preserve">Gram stain results: </w:t>
      </w:r>
      <w:r>
        <w:t xml:space="preserve">Epithelial cells, </w:t>
      </w:r>
      <w:r w:rsidRPr="00A2583C">
        <w:t>WBC and organisms detected.</w:t>
      </w:r>
    </w:p>
    <w:p w:rsidR="00050F5A" w:rsidRDefault="00050F5A" w:rsidP="00050F5A">
      <w:r>
        <w:t>ZN stain results: presence (and quantity) or absence of AFB (see SOP MIC-016).</w:t>
      </w:r>
    </w:p>
    <w:p w:rsidR="00050F5A" w:rsidRPr="00A2583C" w:rsidRDefault="00050F5A" w:rsidP="00050F5A">
      <w:r w:rsidRPr="00A2583C">
        <w:t xml:space="preserve">Wet prep results (if done): presence or absence of named organisms (e.g. </w:t>
      </w:r>
      <w:proofErr w:type="spellStart"/>
      <w:r w:rsidRPr="00A2583C">
        <w:t>paragonimus</w:t>
      </w:r>
      <w:proofErr w:type="spellEnd"/>
      <w:r w:rsidRPr="00A2583C">
        <w:t xml:space="preserve"> ova not seen).</w:t>
      </w:r>
    </w:p>
    <w:p w:rsidR="00C178D0" w:rsidRPr="00C178D0" w:rsidRDefault="00C178D0" w:rsidP="00654EBC">
      <w:r>
        <w:t xml:space="preserve">Culture results: </w:t>
      </w:r>
      <w:r w:rsidRPr="00A2583C">
        <w:t>presen</w:t>
      </w:r>
      <w:r w:rsidR="000F5056">
        <w:t>ce of significant isolates (</w:t>
      </w:r>
      <w:r w:rsidR="00050F5A">
        <w:t xml:space="preserve">e.g. </w:t>
      </w:r>
      <w:r w:rsidR="00050F5A">
        <w:rPr>
          <w:i/>
        </w:rPr>
        <w:t>S. pneumoniae</w:t>
      </w:r>
      <w:r w:rsidRPr="00A2583C">
        <w:t>); no significant growth</w:t>
      </w:r>
      <w:r w:rsidR="000F5056">
        <w:t xml:space="preserve">; </w:t>
      </w:r>
      <w:r w:rsidRPr="00A2583C">
        <w:t>absence of growth.</w:t>
      </w:r>
    </w:p>
    <w:p w:rsidR="007740D7" w:rsidRPr="00093BA1" w:rsidRDefault="007740D7" w:rsidP="007740D7">
      <w:pPr>
        <w:pStyle w:val="Heading1"/>
        <w:rPr>
          <w:lang w:val="en-GB"/>
        </w:rPr>
      </w:pPr>
      <w:r w:rsidRPr="00093BA1">
        <w:rPr>
          <w:lang w:val="en-GB"/>
        </w:rPr>
        <w:t>Quality assurance</w:t>
      </w:r>
    </w:p>
    <w:p w:rsidR="007740D7" w:rsidRPr="00093BA1" w:rsidRDefault="007740D7" w:rsidP="007740D7">
      <w:pPr>
        <w:rPr>
          <w:lang w:val="en-GB"/>
        </w:rPr>
      </w:pPr>
      <w:r w:rsidRPr="00093BA1">
        <w:rPr>
          <w:lang w:val="en-GB"/>
        </w:rPr>
        <w:t>Media and identification tests should be quality controlled according to the relevant SOP.</w:t>
      </w:r>
    </w:p>
    <w:p w:rsidR="007740D7" w:rsidRPr="00093BA1" w:rsidRDefault="007740D7" w:rsidP="007740D7">
      <w:pPr>
        <w:pStyle w:val="Heading1"/>
        <w:rPr>
          <w:lang w:val="en-GB"/>
        </w:rPr>
      </w:pPr>
      <w:r w:rsidRPr="00093BA1">
        <w:rPr>
          <w:lang w:val="en-GB"/>
        </w:rPr>
        <w:t>Limitations</w:t>
      </w:r>
    </w:p>
    <w:p w:rsidR="007740D7" w:rsidRPr="00093BA1" w:rsidRDefault="007740D7" w:rsidP="007740D7">
      <w:pPr>
        <w:rPr>
          <w:lang w:val="en-GB"/>
        </w:rPr>
      </w:pPr>
      <w:r w:rsidRPr="00093BA1">
        <w:rPr>
          <w:lang w:val="en-GB"/>
        </w:rPr>
        <w:t>Prior antimicrobial use may result in negative cultures</w:t>
      </w:r>
      <w:r>
        <w:rPr>
          <w:lang w:val="en-GB"/>
        </w:rPr>
        <w:t>.</w:t>
      </w:r>
      <w:r w:rsidR="00826E84">
        <w:rPr>
          <w:lang w:val="en-GB"/>
        </w:rPr>
        <w:t xml:space="preserve"> Absence of specimen homogenisation may affect culture results.</w:t>
      </w:r>
    </w:p>
    <w:p w:rsidR="00BF4A7B" w:rsidRPr="00983F5B" w:rsidRDefault="00BF4A7B" w:rsidP="00BF4A7B">
      <w:pPr>
        <w:pStyle w:val="Heading1"/>
        <w:rPr>
          <w:lang w:val="en-GB"/>
        </w:rPr>
      </w:pPr>
      <w:r w:rsidRPr="00983F5B">
        <w:rPr>
          <w:lang w:val="en-GB"/>
        </w:rPr>
        <w:t>References</w:t>
      </w:r>
    </w:p>
    <w:p w:rsidR="00AD2D4E" w:rsidRDefault="007740D7" w:rsidP="0001221C">
      <w:pPr>
        <w:pStyle w:val="ListParagraph"/>
        <w:numPr>
          <w:ilvl w:val="0"/>
          <w:numId w:val="6"/>
        </w:numPr>
        <w:rPr>
          <w:lang w:val="en-GB"/>
        </w:rPr>
      </w:pPr>
      <w:r>
        <w:rPr>
          <w:lang w:val="en-GB"/>
        </w:rPr>
        <w:t xml:space="preserve">Health Protection </w:t>
      </w:r>
      <w:r w:rsidR="00CD193F">
        <w:rPr>
          <w:lang w:val="en-GB"/>
        </w:rPr>
        <w:t>A</w:t>
      </w:r>
      <w:r>
        <w:rPr>
          <w:lang w:val="en-GB"/>
        </w:rPr>
        <w:t>gency, UK SOP B</w:t>
      </w:r>
      <w:r w:rsidR="00EB4BCB">
        <w:rPr>
          <w:lang w:val="en-GB"/>
        </w:rPr>
        <w:t>57</w:t>
      </w:r>
      <w:r>
        <w:rPr>
          <w:lang w:val="en-GB"/>
        </w:rPr>
        <w:t xml:space="preserve">: Investigation of </w:t>
      </w:r>
      <w:r w:rsidR="00EB4BCB">
        <w:rPr>
          <w:lang w:val="en-GB"/>
        </w:rPr>
        <w:t>Bronchoalveolar Lavage, Sputum, and Associated Specimens</w:t>
      </w:r>
      <w:r w:rsidR="0001221C">
        <w:rPr>
          <w:lang w:val="en-GB"/>
        </w:rPr>
        <w:t xml:space="preserve"> </w:t>
      </w:r>
      <w:r>
        <w:rPr>
          <w:lang w:val="en-GB"/>
        </w:rPr>
        <w:t xml:space="preserve">(Issue </w:t>
      </w:r>
      <w:r w:rsidR="00EB4BCB">
        <w:rPr>
          <w:lang w:val="en-GB"/>
        </w:rPr>
        <w:t>2.4; August</w:t>
      </w:r>
      <w:r>
        <w:rPr>
          <w:lang w:val="en-GB"/>
        </w:rPr>
        <w:t xml:space="preserve"> 2012).</w:t>
      </w:r>
    </w:p>
    <w:p w:rsidR="00080E09" w:rsidRDefault="00080E09" w:rsidP="00080E09">
      <w:pPr>
        <w:pStyle w:val="ListParagraph"/>
        <w:numPr>
          <w:ilvl w:val="0"/>
          <w:numId w:val="6"/>
        </w:numPr>
        <w:rPr>
          <w:lang w:val="en-GB"/>
        </w:rPr>
      </w:pPr>
      <w:proofErr w:type="spellStart"/>
      <w:r>
        <w:rPr>
          <w:lang w:val="en-GB"/>
        </w:rPr>
        <w:t>Hawkey</w:t>
      </w:r>
      <w:proofErr w:type="spellEnd"/>
      <w:r>
        <w:rPr>
          <w:lang w:val="en-GB"/>
        </w:rPr>
        <w:t>, P and Lewis, D. Medical Bacteriology. 2</w:t>
      </w:r>
      <w:r w:rsidRPr="007740D7">
        <w:rPr>
          <w:vertAlign w:val="superscript"/>
          <w:lang w:val="en-GB"/>
        </w:rPr>
        <w:t>nd</w:t>
      </w:r>
      <w:r>
        <w:rPr>
          <w:lang w:val="en-GB"/>
        </w:rPr>
        <w:t xml:space="preserve"> Edition (2004). Oxford University Press.</w:t>
      </w:r>
    </w:p>
    <w:p w:rsidR="00080E09" w:rsidRPr="0001221C" w:rsidRDefault="00080E09" w:rsidP="0001221C">
      <w:pPr>
        <w:pStyle w:val="ListParagraph"/>
        <w:numPr>
          <w:ilvl w:val="0"/>
          <w:numId w:val="6"/>
        </w:numPr>
        <w:rPr>
          <w:lang w:val="en-GB"/>
        </w:rPr>
      </w:pPr>
      <w:r>
        <w:rPr>
          <w:lang w:val="en-GB"/>
        </w:rPr>
        <w:t>Cheesbrough, M. District Laboratory Practice in Tropical Countries, Part 2. 2</w:t>
      </w:r>
      <w:r w:rsidRPr="00080E09">
        <w:rPr>
          <w:vertAlign w:val="superscript"/>
          <w:lang w:val="en-GB"/>
        </w:rPr>
        <w:t>nd</w:t>
      </w:r>
      <w:r>
        <w:rPr>
          <w:lang w:val="en-GB"/>
        </w:rPr>
        <w:t xml:space="preserve"> Edition Update (2006). Cambridge University Press.</w:t>
      </w:r>
    </w:p>
    <w:p w:rsidR="00BD3B97" w:rsidRDefault="00BD3B97" w:rsidP="00640E81">
      <w:pPr>
        <w:pStyle w:val="Heading1"/>
        <w:rPr>
          <w:lang w:val="en-GB"/>
        </w:rPr>
        <w:sectPr w:rsidR="00BD3B97" w:rsidSect="006C64AF">
          <w:pgSz w:w="12240" w:h="15840"/>
          <w:pgMar w:top="1440" w:right="1800" w:bottom="1440" w:left="1800" w:header="708" w:footer="708" w:gutter="0"/>
          <w:cols w:space="708"/>
          <w:docGrid w:linePitch="326"/>
        </w:sectPr>
      </w:pPr>
    </w:p>
    <w:p w:rsidR="00BD3B97" w:rsidRDefault="00BD3B97" w:rsidP="00BD3B97">
      <w:pPr>
        <w:pStyle w:val="Heading1"/>
        <w:jc w:val="left"/>
        <w:rPr>
          <w:lang w:val="en-GB"/>
        </w:rPr>
      </w:pPr>
      <w:r w:rsidRPr="00BD3B97">
        <w:rPr>
          <w:lang w:val="en-GB"/>
        </w:rPr>
        <w:t>S</w:t>
      </w:r>
      <w:r w:rsidR="00640E81" w:rsidRPr="00BD3B97">
        <w:rPr>
          <w:lang w:val="en-GB"/>
        </w:rPr>
        <w:t>ynopsis / Bench aid</w:t>
      </w:r>
    </w:p>
    <w:p w:rsidR="00BD3B97" w:rsidRPr="00BD3B97" w:rsidRDefault="001845FD" w:rsidP="00BD3B97">
      <w:pPr>
        <w:jc w:val="center"/>
        <w:rPr>
          <w:lang w:val="en-GB"/>
        </w:rPr>
        <w:sectPr w:rsidR="00BD3B97" w:rsidRPr="00BD3B97" w:rsidSect="00BD3B97">
          <w:pgSz w:w="15840" w:h="12240" w:orient="landscape"/>
          <w:pgMar w:top="1800" w:right="1440" w:bottom="1800" w:left="1440" w:header="708" w:footer="708" w:gutter="0"/>
          <w:cols w:space="708"/>
          <w:docGrid w:linePitch="326"/>
        </w:sectPr>
      </w:pPr>
      <w:r>
        <w:rPr>
          <w:noProof/>
          <w:lang w:val="en-GB" w:eastAsia="en-GB"/>
        </w:rPr>
        <w:drawing>
          <wp:inline distT="0" distB="0" distL="0" distR="0">
            <wp:extent cx="8229600" cy="4106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106333"/>
                    </a:xfrm>
                    <a:prstGeom prst="rect">
                      <a:avLst/>
                    </a:prstGeom>
                    <a:noFill/>
                    <a:ln>
                      <a:noFill/>
                    </a:ln>
                  </pic:spPr>
                </pic:pic>
              </a:graphicData>
            </a:graphic>
          </wp:inline>
        </w:drawing>
      </w:r>
    </w:p>
    <w:p w:rsidR="00B424F6" w:rsidRPr="00BD3B97" w:rsidRDefault="00BF4A7B" w:rsidP="00BD3B97">
      <w:pPr>
        <w:pStyle w:val="Heading1"/>
        <w:jc w:val="left"/>
        <w:rPr>
          <w:lang w:val="en-GB"/>
        </w:rPr>
      </w:pPr>
      <w:r w:rsidRPr="00BD3B97">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B0105C" w:rsidRPr="00983F5B"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B0105C" w:rsidRPr="00093BA1" w:rsidRDefault="00B0105C" w:rsidP="00D52743">
            <w:pPr>
              <w:widowControl w:val="0"/>
              <w:autoSpaceDE w:val="0"/>
              <w:autoSpaceDN w:val="0"/>
              <w:adjustRightInd w:val="0"/>
              <w:spacing w:after="0" w:line="240" w:lineRule="auto"/>
              <w:jc w:val="left"/>
              <w:rPr>
                <w:rFonts w:ascii="Century Gothic" w:eastAsia="Times New Roman" w:hAnsi="Century Gothic"/>
                <w:b/>
                <w:color w:val="0D0D0D" w:themeColor="text1" w:themeTint="F2"/>
                <w:szCs w:val="24"/>
                <w:lang w:val="en-GB"/>
              </w:rPr>
            </w:pPr>
            <w:r w:rsidRPr="00093BA1">
              <w:rPr>
                <w:rFonts w:eastAsia="Times New Roman"/>
                <w:color w:val="0D0D0D" w:themeColor="text1" w:themeTint="F2"/>
                <w:szCs w:val="24"/>
                <w:lang w:val="en-GB"/>
              </w:rPr>
              <w:br w:type="page"/>
            </w:r>
            <w:r w:rsidRPr="00093BA1">
              <w:rPr>
                <w:rFonts w:ascii="Century Gothic" w:eastAsia="Times New Roman" w:hAnsi="Century Gothic"/>
                <w:b/>
                <w:color w:val="0D0D0D" w:themeColor="text1" w:themeTint="F2"/>
                <w:szCs w:val="24"/>
                <w:lang w:val="en-GB"/>
              </w:rPr>
              <w:t>COSHH risk assessment - University of Oxford COSHH Assessment Form</w:t>
            </w:r>
          </w:p>
        </w:tc>
      </w:tr>
      <w:tr w:rsidR="00B0105C" w:rsidRPr="00983F5B" w:rsidTr="007A5E14">
        <w:trPr>
          <w:trHeight w:val="524"/>
          <w:jc w:val="center"/>
        </w:trPr>
        <w:tc>
          <w:tcPr>
            <w:tcW w:w="4111" w:type="dxa"/>
            <w:tcBorders>
              <w:top w:val="single" w:sz="12"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Description of procedure</w:t>
            </w:r>
          </w:p>
          <w:p w:rsidR="00B0105C" w:rsidRPr="00093BA1" w:rsidRDefault="00B0105C" w:rsidP="00EB4BCB">
            <w:pPr>
              <w:jc w:val="left"/>
              <w:rPr>
                <w:szCs w:val="24"/>
                <w:lang w:val="en-GB" w:bidi="x-none"/>
              </w:rPr>
            </w:pPr>
            <w:r w:rsidRPr="00093BA1">
              <w:rPr>
                <w:lang w:val="en-GB"/>
              </w:rPr>
              <w:t xml:space="preserve">Culture of </w:t>
            </w:r>
            <w:r w:rsidR="00EB4BCB">
              <w:rPr>
                <w:lang w:val="en-GB"/>
              </w:rPr>
              <w:t>sputum and endotracheal aspirates</w:t>
            </w:r>
          </w:p>
        </w:tc>
        <w:tc>
          <w:tcPr>
            <w:tcW w:w="4679" w:type="dxa"/>
            <w:tcBorders>
              <w:top w:val="single" w:sz="12"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Substances used</w:t>
            </w:r>
          </w:p>
          <w:p w:rsidR="00B0105C" w:rsidRPr="00093BA1" w:rsidRDefault="003532EC" w:rsidP="0001221C">
            <w:pPr>
              <w:jc w:val="left"/>
              <w:rPr>
                <w:szCs w:val="24"/>
                <w:lang w:val="en-GB" w:bidi="x-none"/>
              </w:rPr>
            </w:pPr>
            <w:r w:rsidRPr="00093BA1">
              <w:rPr>
                <w:rFonts w:cs="Helvetica"/>
                <w:color w:val="0D0D0D" w:themeColor="text1" w:themeTint="F2"/>
                <w:lang w:val="en-GB"/>
              </w:rPr>
              <w:t xml:space="preserve">Variable, depending on organism cultured (may include Gram stain reagents; 3% hydrogen peroxide (catalase test); </w:t>
            </w:r>
            <w:r w:rsidRPr="00093BA1">
              <w:rPr>
                <w:rFonts w:eastAsia="Calibri"/>
                <w:lang w:val="en-GB" w:bidi="th-TH"/>
              </w:rPr>
              <w:t>N,N,N',N'-tetramethyl-1,4-phenylenediamine</w:t>
            </w:r>
            <w:r w:rsidRPr="00093BA1">
              <w:rPr>
                <w:lang w:val="en-GB" w:bidi="th-TH"/>
              </w:rPr>
              <w:t xml:space="preserve"> (oxidase test); s</w:t>
            </w:r>
            <w:r w:rsidRPr="00093BA1">
              <w:rPr>
                <w:rFonts w:eastAsia="Calibri"/>
                <w:lang w:val="en-GB"/>
              </w:rPr>
              <w:t>odium deoxycholate</w:t>
            </w:r>
            <w:r w:rsidRPr="00093BA1">
              <w:rPr>
                <w:lang w:val="en-GB"/>
              </w:rPr>
              <w:t xml:space="preserve"> (bile solubility test); bioMerieux API reagents)</w:t>
            </w:r>
          </w:p>
        </w:tc>
      </w:tr>
      <w:tr w:rsidR="00B0105C" w:rsidRPr="00983F5B" w:rsidTr="007A5E14">
        <w:trPr>
          <w:trHeight w:val="350"/>
          <w:jc w:val="center"/>
        </w:trPr>
        <w:tc>
          <w:tcPr>
            <w:tcW w:w="4111" w:type="dxa"/>
            <w:tcBorders>
              <w:top w:val="single" w:sz="6"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Quantities of chemicals used</w:t>
            </w:r>
          </w:p>
          <w:p w:rsidR="00B0105C" w:rsidRPr="00093BA1" w:rsidRDefault="00B0105C" w:rsidP="00D52743">
            <w:pPr>
              <w:spacing w:after="0" w:line="240" w:lineRule="auto"/>
              <w:jc w:val="left"/>
              <w:rPr>
                <w:rFonts w:eastAsia="Times New Roman"/>
                <w:color w:val="0D0D0D" w:themeColor="text1" w:themeTint="F2"/>
                <w:szCs w:val="24"/>
                <w:lang w:val="en-GB"/>
              </w:rPr>
            </w:pPr>
            <w:r w:rsidRPr="00093BA1">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Frequency of SOP use</w:t>
            </w:r>
          </w:p>
          <w:p w:rsidR="00B0105C" w:rsidRPr="00093BA1" w:rsidRDefault="00B300CE" w:rsidP="00B300CE">
            <w:pPr>
              <w:spacing w:after="0" w:line="240" w:lineRule="auto"/>
              <w:jc w:val="left"/>
              <w:rPr>
                <w:rFonts w:eastAsia="Times New Roman"/>
                <w:color w:val="0D0D0D" w:themeColor="text1" w:themeTint="F2"/>
                <w:szCs w:val="24"/>
                <w:lang w:val="en-GB"/>
              </w:rPr>
            </w:pPr>
            <w:r w:rsidRPr="00093BA1">
              <w:rPr>
                <w:szCs w:val="24"/>
                <w:lang w:val="en-GB" w:bidi="x-none"/>
              </w:rPr>
              <w:t>Daily</w:t>
            </w:r>
          </w:p>
        </w:tc>
      </w:tr>
      <w:tr w:rsidR="00B0105C" w:rsidRPr="00983F5B" w:rsidTr="007A5E14">
        <w:trPr>
          <w:jc w:val="center"/>
        </w:trPr>
        <w:tc>
          <w:tcPr>
            <w:tcW w:w="4111" w:type="dxa"/>
            <w:tcBorders>
              <w:top w:val="single" w:sz="6"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Hazards identified</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1. Autoclaved liquid</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 xml:space="preserve">2. Potentially infectious material in sample  </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3. Potentially pathogenic bacteria</w:t>
            </w:r>
          </w:p>
          <w:p w:rsidR="00B0105C" w:rsidRPr="00093BA1" w:rsidRDefault="00B0105C" w:rsidP="00D52743">
            <w:pPr>
              <w:spacing w:after="0" w:line="240" w:lineRule="auto"/>
              <w:jc w:val="left"/>
              <w:rPr>
                <w:rFonts w:eastAsia="Times New Roman"/>
                <w:color w:val="0D0D0D" w:themeColor="text1" w:themeTint="F2"/>
                <w:szCs w:val="24"/>
                <w:lang w:val="en-GB"/>
              </w:rPr>
            </w:pPr>
            <w:r w:rsidRPr="00093BA1">
              <w:rPr>
                <w:rFonts w:eastAsia="Times New Roman"/>
                <w:szCs w:val="24"/>
                <w:lang w:val="en-GB" w:bidi="x-none"/>
              </w:rPr>
              <w:t>4. Chemical exposure form bacterial identification tests</w:t>
            </w:r>
          </w:p>
        </w:tc>
        <w:tc>
          <w:tcPr>
            <w:tcW w:w="4679" w:type="dxa"/>
            <w:tcBorders>
              <w:top w:val="single" w:sz="6"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Could a less hazardous substance be used instead?</w:t>
            </w:r>
            <w:r w:rsidRPr="00093BA1">
              <w:rPr>
                <w:rFonts w:ascii="Century Gothic" w:hAnsi="Century Gothic"/>
                <w:szCs w:val="24"/>
                <w:lang w:val="en-GB" w:bidi="x-none"/>
              </w:rPr>
              <w:t xml:space="preserve">    </w:t>
            </w:r>
          </w:p>
          <w:p w:rsidR="00B0105C" w:rsidRPr="00093BA1" w:rsidRDefault="00B300CE" w:rsidP="00B300CE">
            <w:pPr>
              <w:spacing w:after="0" w:line="240" w:lineRule="auto"/>
              <w:jc w:val="left"/>
              <w:rPr>
                <w:rFonts w:eastAsia="Times New Roman"/>
                <w:color w:val="0D0D0D" w:themeColor="text1" w:themeTint="F2"/>
                <w:szCs w:val="24"/>
                <w:lang w:val="en-GB"/>
              </w:rPr>
            </w:pPr>
            <w:r w:rsidRPr="00093BA1">
              <w:rPr>
                <w:szCs w:val="24"/>
                <w:lang w:val="en-GB" w:bidi="x-none"/>
              </w:rPr>
              <w:t>No</w:t>
            </w:r>
          </w:p>
        </w:tc>
      </w:tr>
      <w:tr w:rsidR="00B0105C" w:rsidRPr="00983F5B" w:rsidTr="007A5E14">
        <w:trPr>
          <w:jc w:val="center"/>
        </w:trPr>
        <w:tc>
          <w:tcPr>
            <w:tcW w:w="8790" w:type="dxa"/>
            <w:gridSpan w:val="2"/>
            <w:tcBorders>
              <w:top w:val="single" w:sz="6" w:space="0" w:color="auto"/>
              <w:left w:val="single" w:sz="12" w:space="0" w:color="auto"/>
              <w:righ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 xml:space="preserve">What measures have you taken to control risk? </w:t>
            </w:r>
          </w:p>
          <w:p w:rsidR="00B0105C" w:rsidRPr="00093BA1" w:rsidRDefault="00B0105C"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1. Training in good laboratory practices (GLP)</w:t>
            </w:r>
          </w:p>
          <w:p w:rsidR="00B0105C" w:rsidRDefault="00B0105C" w:rsidP="0001221C">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2. Appropriate PPE (lab coat, gloves, eye protection)</w:t>
            </w:r>
          </w:p>
          <w:p w:rsidR="00727385" w:rsidRPr="0001221C" w:rsidRDefault="00727385" w:rsidP="0001221C">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3. Use of biosafety cabinet for reading of plates / follow-up of BSL-3 organisms (e.g. </w:t>
            </w:r>
            <w:r w:rsidRPr="00093BA1">
              <w:rPr>
                <w:rFonts w:eastAsia="Times New Roman" w:cs="Helvetica"/>
                <w:i/>
                <w:iCs/>
                <w:color w:val="0D0D0D" w:themeColor="text1" w:themeTint="F2"/>
                <w:szCs w:val="16"/>
                <w:lang w:val="en-GB"/>
              </w:rPr>
              <w:t>B. pseudomallei</w:t>
            </w:r>
            <w:r w:rsidRPr="00093BA1">
              <w:rPr>
                <w:rFonts w:eastAsia="Times New Roman" w:cs="Helvetica"/>
                <w:color w:val="0D0D0D" w:themeColor="text1" w:themeTint="F2"/>
                <w:szCs w:val="16"/>
                <w:lang w:val="en-GB"/>
              </w:rPr>
              <w:t>)</w:t>
            </w:r>
          </w:p>
        </w:tc>
      </w:tr>
      <w:tr w:rsidR="00B0105C" w:rsidRPr="00983F5B" w:rsidTr="007A5E14">
        <w:trPr>
          <w:jc w:val="center"/>
        </w:trPr>
        <w:tc>
          <w:tcPr>
            <w:tcW w:w="8790" w:type="dxa"/>
            <w:gridSpan w:val="2"/>
            <w:tcBorders>
              <w:top w:val="single" w:sz="6" w:space="0" w:color="auto"/>
              <w:left w:val="single" w:sz="12" w:space="0" w:color="auto"/>
              <w:righ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Checks on control measures</w:t>
            </w:r>
          </w:p>
          <w:p w:rsidR="00B0105C" w:rsidRPr="00093BA1" w:rsidRDefault="00B0105C" w:rsidP="00D52743">
            <w:pPr>
              <w:spacing w:after="0" w:line="240" w:lineRule="auto"/>
              <w:jc w:val="left"/>
              <w:rPr>
                <w:b/>
                <w:bCs/>
                <w:szCs w:val="24"/>
                <w:lang w:val="en-GB" w:bidi="x-none"/>
              </w:rPr>
            </w:pPr>
            <w:r w:rsidRPr="00093BA1">
              <w:rPr>
                <w:szCs w:val="24"/>
                <w:lang w:val="en-GB" w:bidi="x-none"/>
              </w:rPr>
              <w:t>Observation and supervision by senior staff</w:t>
            </w:r>
          </w:p>
        </w:tc>
      </w:tr>
      <w:tr w:rsidR="00B300CE" w:rsidRPr="00983F5B" w:rsidTr="007A5E14">
        <w:trPr>
          <w:jc w:val="center"/>
        </w:trPr>
        <w:tc>
          <w:tcPr>
            <w:tcW w:w="4111" w:type="dxa"/>
            <w:tcBorders>
              <w:top w:val="single" w:sz="6" w:space="0" w:color="auto"/>
              <w:left w:val="single" w:sz="12" w:space="0" w:color="auto"/>
              <w:bottom w:val="single" w:sz="8" w:space="0" w:color="auto"/>
            </w:tcBorders>
          </w:tcPr>
          <w:p w:rsidR="00B300CE" w:rsidRPr="00093BA1" w:rsidRDefault="00B300CE"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Is health surveillance required?</w:t>
            </w:r>
          </w:p>
          <w:p w:rsidR="00B300CE" w:rsidRPr="00093BA1" w:rsidRDefault="00B300CE" w:rsidP="00D52743">
            <w:pPr>
              <w:spacing w:after="0" w:line="240" w:lineRule="auto"/>
              <w:jc w:val="left"/>
              <w:rPr>
                <w:szCs w:val="24"/>
                <w:lang w:val="en-GB" w:bidi="x-none"/>
              </w:rPr>
            </w:pPr>
            <w:r w:rsidRPr="00093BA1">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B300CE" w:rsidRPr="00093BA1" w:rsidRDefault="00B300CE"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Training requirements:</w:t>
            </w:r>
          </w:p>
          <w:p w:rsidR="00B300CE" w:rsidRPr="00093BA1" w:rsidRDefault="00B300CE" w:rsidP="00D52743">
            <w:pPr>
              <w:spacing w:after="0" w:line="240" w:lineRule="auto"/>
              <w:jc w:val="left"/>
              <w:rPr>
                <w:szCs w:val="24"/>
                <w:lang w:val="en-GB" w:bidi="x-none"/>
              </w:rPr>
            </w:pPr>
            <w:r w:rsidRPr="00093BA1">
              <w:rPr>
                <w:szCs w:val="24"/>
                <w:lang w:val="en-GB" w:bidi="x-none"/>
              </w:rPr>
              <w:t>GLP</w:t>
            </w:r>
          </w:p>
        </w:tc>
      </w:tr>
      <w:tr w:rsidR="00B300CE" w:rsidRPr="00983F5B"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B300CE" w:rsidRPr="00093BA1" w:rsidRDefault="00B300CE" w:rsidP="00D52743">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Emergency procedures</w:t>
            </w:r>
            <w:r w:rsidRPr="00093BA1">
              <w:rPr>
                <w:rFonts w:ascii="Century Gothic" w:hAnsi="Century Gothic"/>
                <w:szCs w:val="24"/>
                <w:lang w:val="en-GB" w:bidi="x-none"/>
              </w:rPr>
              <w:t>:</w:t>
            </w:r>
          </w:p>
          <w:p w:rsidR="00B300CE" w:rsidRPr="00093BA1" w:rsidRDefault="00B300CE" w:rsidP="00D52743">
            <w:pPr>
              <w:spacing w:after="0" w:line="240" w:lineRule="auto"/>
              <w:jc w:val="left"/>
              <w:rPr>
                <w:szCs w:val="24"/>
                <w:lang w:val="en-GB" w:bidi="x-none"/>
              </w:rPr>
            </w:pPr>
            <w:r w:rsidRPr="00093BA1">
              <w:rPr>
                <w:szCs w:val="24"/>
                <w:lang w:val="en-GB" w:bidi="x-none"/>
              </w:rPr>
              <w:t>1. Report all incidents to Safety Adviser</w:t>
            </w:r>
          </w:p>
          <w:p w:rsidR="00B300CE" w:rsidRPr="00093BA1" w:rsidRDefault="00B300CE" w:rsidP="00D52743">
            <w:pPr>
              <w:spacing w:after="0" w:line="240" w:lineRule="auto"/>
              <w:jc w:val="left"/>
              <w:rPr>
                <w:szCs w:val="24"/>
                <w:lang w:val="en-GB" w:bidi="x-none"/>
              </w:rPr>
            </w:pPr>
            <w:r w:rsidRPr="00093BA1">
              <w:rPr>
                <w:szCs w:val="24"/>
                <w:lang w:val="en-GB" w:bidi="x-none"/>
              </w:rPr>
              <w:t>2. Use eyewash for splashes</w:t>
            </w:r>
          </w:p>
          <w:p w:rsidR="00B300CE" w:rsidRPr="00093BA1" w:rsidRDefault="00B300CE" w:rsidP="00D52743">
            <w:pPr>
              <w:spacing w:after="0" w:line="240" w:lineRule="auto"/>
              <w:jc w:val="left"/>
              <w:rPr>
                <w:rFonts w:eastAsia="Times New Roman"/>
                <w:color w:val="0D0D0D" w:themeColor="text1" w:themeTint="F2"/>
                <w:szCs w:val="24"/>
                <w:lang w:val="en-GB"/>
              </w:rPr>
            </w:pPr>
            <w:r w:rsidRPr="00093BA1">
              <w:rPr>
                <w:szCs w:val="24"/>
                <w:lang w:val="en-GB"/>
              </w:rPr>
              <w:t>3. Clean up spills using 1% Virkon or chemical spill kit</w:t>
            </w:r>
          </w:p>
        </w:tc>
        <w:tc>
          <w:tcPr>
            <w:tcW w:w="4679" w:type="dxa"/>
            <w:tcBorders>
              <w:top w:val="single" w:sz="8" w:space="0" w:color="auto"/>
              <w:left w:val="single" w:sz="8" w:space="0" w:color="auto"/>
              <w:bottom w:val="single" w:sz="12" w:space="0" w:color="auto"/>
              <w:right w:val="single" w:sz="12" w:space="0" w:color="auto"/>
            </w:tcBorders>
          </w:tcPr>
          <w:p w:rsidR="00B300CE" w:rsidRPr="00093BA1" w:rsidRDefault="00B300CE" w:rsidP="00D52743">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Waste disposal procedures</w:t>
            </w:r>
            <w:r w:rsidRPr="00093BA1">
              <w:rPr>
                <w:rFonts w:ascii="Century Gothic" w:hAnsi="Century Gothic"/>
                <w:szCs w:val="24"/>
                <w:lang w:val="en-GB" w:bidi="x-none"/>
              </w:rPr>
              <w:t>:</w:t>
            </w:r>
          </w:p>
          <w:p w:rsidR="00B300CE" w:rsidRPr="00093BA1" w:rsidRDefault="00B300CE"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1. Sharps discarded into appropriate rigid containers for incineration</w:t>
            </w:r>
          </w:p>
          <w:p w:rsidR="00B300CE" w:rsidRPr="00093BA1" w:rsidRDefault="00B300CE"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2. Infectious waste discarded into autoclave bags or 1% Virkon solution prior to autoclaving and subsequent incineration</w:t>
            </w:r>
          </w:p>
          <w:p w:rsidR="00B300CE" w:rsidRPr="00093BA1" w:rsidRDefault="00B300CE" w:rsidP="00D52743">
            <w:pPr>
              <w:spacing w:after="0" w:line="240" w:lineRule="auto"/>
              <w:jc w:val="left"/>
              <w:rPr>
                <w:sz w:val="40"/>
                <w:szCs w:val="24"/>
                <w:lang w:val="en-GB" w:bidi="x-none"/>
              </w:rPr>
            </w:pPr>
            <w:r w:rsidRPr="00093BA1">
              <w:rPr>
                <w:rFonts w:eastAsia="Times New Roman" w:cs="Helvetica"/>
                <w:color w:val="0D0D0D" w:themeColor="text1" w:themeTint="F2"/>
                <w:szCs w:val="16"/>
                <w:lang w:val="en-GB"/>
              </w:rPr>
              <w:t>3. Chemical waste disposed of according to manufacturer’s instructions</w:t>
            </w:r>
          </w:p>
        </w:tc>
      </w:tr>
    </w:tbl>
    <w:p w:rsidR="00BF4A7B" w:rsidRPr="00983F5B" w:rsidRDefault="00BF4A7B" w:rsidP="00BF4A7B">
      <w:pPr>
        <w:rPr>
          <w:lang w:val="en-GB"/>
        </w:rPr>
      </w:pPr>
    </w:p>
    <w:sectPr w:rsidR="00BF4A7B" w:rsidRPr="00983F5B"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4A" w:rsidRDefault="0065794A" w:rsidP="00D219C6">
      <w:r>
        <w:separator/>
      </w:r>
    </w:p>
  </w:endnote>
  <w:endnote w:type="continuationSeparator" w:id="0">
    <w:p w:rsidR="0065794A" w:rsidRDefault="0065794A"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axisEF-Light">
    <w:panose1 w:val="00000000000000000000"/>
    <w:charset w:val="00"/>
    <w:family w:val="swiss"/>
    <w:notTrueType/>
    <w:pitch w:val="default"/>
    <w:sig w:usb0="00000003" w:usb1="00000000" w:usb2="00000000" w:usb3="00000000" w:csb0="00000001" w:csb1="00000000"/>
  </w:font>
  <w:font w:name="HMEKHK+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D01185">
      <w:rPr>
        <w:rFonts w:ascii="Century Gothic" w:hAnsi="Century Gothic"/>
        <w:noProof/>
        <w:lang w:val="en-GB"/>
      </w:rPr>
      <w:t>1</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D01185">
      <w:rPr>
        <w:rFonts w:ascii="Century Gothic" w:hAnsi="Century Gothic"/>
        <w:noProof/>
        <w:lang w:val="en-GB"/>
      </w:rPr>
      <w:t>9</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4A" w:rsidRDefault="0065794A" w:rsidP="00D219C6">
      <w:r>
        <w:separator/>
      </w:r>
    </w:p>
  </w:footnote>
  <w:footnote w:type="continuationSeparator" w:id="0">
    <w:p w:rsidR="0065794A" w:rsidRDefault="0065794A"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85" w:rsidRPr="00D01185" w:rsidRDefault="00D01185">
    <w:pPr>
      <w:rPr>
        <w:sz w:val="20"/>
      </w:rPr>
    </w:pPr>
    <w:r w:rsidRPr="00D01185">
      <w:rPr>
        <w:sz w:val="20"/>
      </w:rPr>
      <w:drawing>
        <wp:anchor distT="0" distB="0" distL="114300" distR="114300" simplePos="0" relativeHeight="251659264" behindDoc="0" locked="0" layoutInCell="1" allowOverlap="1" wp14:anchorId="15C73097" wp14:editId="159FC695">
          <wp:simplePos x="0" y="0"/>
          <wp:positionH relativeFrom="margin">
            <wp:posOffset>-520065</wp:posOffset>
          </wp:positionH>
          <wp:positionV relativeFrom="margin">
            <wp:posOffset>-2400935</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D01185">
      <w:rPr>
        <w:sz w:val="20"/>
      </w:rPr>
      <mc:AlternateContent>
        <mc:Choice Requires="wps">
          <w:drawing>
            <wp:anchor distT="0" distB="0" distL="114300" distR="114300" simplePos="0" relativeHeight="251660288" behindDoc="0" locked="0" layoutInCell="1" allowOverlap="1" wp14:anchorId="2D91FEAC" wp14:editId="54E3DD55">
              <wp:simplePos x="0" y="0"/>
              <wp:positionH relativeFrom="margin">
                <wp:posOffset>2940050</wp:posOffset>
              </wp:positionH>
              <wp:positionV relativeFrom="paragraph">
                <wp:posOffset>-84455</wp:posOffset>
              </wp:positionV>
              <wp:extent cx="3067050" cy="525145"/>
              <wp:effectExtent l="0" t="0" r="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185" w:rsidRDefault="00D01185" w:rsidP="00D01185">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31.5pt;margin-top:-6.6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pgwIAABE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" stroked="f">
              <v:textbox>
                <w:txbxContent>
                  <w:p w:rsidR="00D01185" w:rsidRDefault="00D01185" w:rsidP="00D01185">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D01185" w:rsidRPr="00D01185" w:rsidRDefault="00D01185">
    <w:pPr>
      <w:rPr>
        <w:sz w:val="20"/>
      </w:rPr>
    </w:pPr>
  </w:p>
  <w:p w:rsidR="00D01185" w:rsidRPr="00D01185" w:rsidRDefault="00D01185">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3777E8" w:rsidP="00DA6E03">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 xml:space="preserve">Culture of </w:t>
          </w:r>
          <w:r w:rsidR="00DA6E03">
            <w:rPr>
              <w:rFonts w:ascii="Century Gothic" w:eastAsia="Times New Roman" w:hAnsi="Century Gothic" w:cs="Arial"/>
              <w:smallCaps/>
              <w:color w:val="auto"/>
              <w:sz w:val="24"/>
              <w:szCs w:val="24"/>
              <w:lang w:val="en-GB"/>
            </w:rPr>
            <w:t>sputum and endotracheal aspirates</w:t>
          </w:r>
        </w:p>
      </w:tc>
    </w:tr>
    <w:tr w:rsidR="00FB0AA3" w:rsidRPr="00983F5B" w:rsidTr="0073622C">
      <w:trPr>
        <w:jc w:val="center"/>
      </w:trPr>
      <w:tc>
        <w:tcPr>
          <w:tcW w:w="2551" w:type="dxa"/>
          <w:tcBorders>
            <w:top w:val="single" w:sz="4" w:space="0" w:color="auto"/>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w:t>
          </w:r>
          <w:r w:rsidR="0073622C" w:rsidRPr="00983F5B">
            <w:rPr>
              <w:rFonts w:ascii="Century Gothic" w:hAnsi="Century Gothic"/>
              <w:sz w:val="16"/>
              <w:szCs w:val="16"/>
              <w:lang w:val="en-GB"/>
            </w:rPr>
            <w:t xml:space="preserve"> / version</w:t>
          </w:r>
          <w:r w:rsidRPr="00983F5B">
            <w:rPr>
              <w:rFonts w:ascii="Century Gothic" w:hAnsi="Century Gothic"/>
              <w:sz w:val="16"/>
              <w:szCs w:val="16"/>
              <w:lang w:val="en-GB"/>
            </w:rPr>
            <w:t>:</w:t>
          </w:r>
        </w:p>
      </w:tc>
      <w:tc>
        <w:tcPr>
          <w:tcW w:w="2552" w:type="dxa"/>
          <w:tcBorders>
            <w:top w:val="single" w:sz="4" w:space="0" w:color="auto"/>
            <w:left w:val="nil"/>
            <w:bottom w:val="nil"/>
            <w:right w:val="nil"/>
          </w:tcBorders>
        </w:tcPr>
        <w:p w:rsidR="00DD0470" w:rsidRPr="00983F5B" w:rsidRDefault="00DD0470" w:rsidP="00DA6E03">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DD0470" w:rsidRPr="00983F5B" w:rsidRDefault="00DD0470"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DD0470" w:rsidRPr="00983F5B" w:rsidRDefault="003777E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Sep-2005</w:t>
          </w:r>
        </w:p>
      </w:tc>
    </w:tr>
    <w:tr w:rsidR="00FB0AA3" w:rsidRPr="00983F5B" w:rsidTr="0073622C">
      <w:trPr>
        <w:jc w:val="center"/>
      </w:trPr>
      <w:tc>
        <w:tcPr>
          <w:tcW w:w="2551" w:type="dxa"/>
          <w:tcBorders>
            <w:top w:val="nil"/>
            <w:left w:val="single" w:sz="4" w:space="0" w:color="auto"/>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B0AA3" w:rsidRPr="00983F5B" w:rsidRDefault="003777E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Microbiology laboratory</w:t>
          </w:r>
        </w:p>
      </w:tc>
      <w:tc>
        <w:tcPr>
          <w:tcW w:w="2552" w:type="dxa"/>
          <w:tcBorders>
            <w:top w:val="nil"/>
            <w:left w:val="nil"/>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single" w:sz="4" w:space="0" w:color="auto"/>
            <w:right w:val="nil"/>
          </w:tcBorders>
        </w:tcPr>
        <w:p w:rsidR="00FB0AA3" w:rsidRPr="00983F5B" w:rsidRDefault="00D01185"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FB0AA3"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bl>
  <w:p w:rsidR="00E211A0" w:rsidRPr="00D01185"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85" w:rsidRPr="00D01185" w:rsidRDefault="00D01185">
    <w:pPr>
      <w:rPr>
        <w:sz w:val="20"/>
      </w:rPr>
    </w:pPr>
    <w:r w:rsidRPr="00D01185">
      <w:rPr>
        <w:sz w:val="20"/>
      </w:rPr>
      <w:drawing>
        <wp:anchor distT="0" distB="0" distL="114300" distR="114300" simplePos="0" relativeHeight="251662336" behindDoc="0" locked="0" layoutInCell="1" allowOverlap="1" wp14:anchorId="2FDBE7FA" wp14:editId="225F3BE3">
          <wp:simplePos x="0" y="0"/>
          <wp:positionH relativeFrom="margin">
            <wp:posOffset>-520065</wp:posOffset>
          </wp:positionH>
          <wp:positionV relativeFrom="margin">
            <wp:posOffset>-1874520</wp:posOffset>
          </wp:positionV>
          <wp:extent cx="1520190" cy="734695"/>
          <wp:effectExtent l="0" t="0" r="3810" b="8255"/>
          <wp:wrapSquare wrapText="bothSides"/>
          <wp:docPr id="3" name="Picture 3"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D01185">
      <w:rPr>
        <w:sz w:val="20"/>
      </w:rPr>
      <mc:AlternateContent>
        <mc:Choice Requires="wps">
          <w:drawing>
            <wp:anchor distT="0" distB="0" distL="114300" distR="114300" simplePos="0" relativeHeight="251663360" behindDoc="0" locked="0" layoutInCell="1" allowOverlap="1" wp14:anchorId="598B5643" wp14:editId="5179270C">
              <wp:simplePos x="0" y="0"/>
              <wp:positionH relativeFrom="margin">
                <wp:posOffset>2940050</wp:posOffset>
              </wp:positionH>
              <wp:positionV relativeFrom="paragraph">
                <wp:posOffset>-84455</wp:posOffset>
              </wp:positionV>
              <wp:extent cx="3067050" cy="52514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185" w:rsidRDefault="00D01185" w:rsidP="00D01185">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31.5pt;margin-top:-6.65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kgwIAABY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" stroked="f">
              <v:textbox>
                <w:txbxContent>
                  <w:p w:rsidR="00D01185" w:rsidRDefault="00D01185" w:rsidP="00D01185">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D01185" w:rsidRPr="00D01185" w:rsidRDefault="00D01185">
    <w:pPr>
      <w:rPr>
        <w:sz w:val="20"/>
      </w:rPr>
    </w:pPr>
  </w:p>
  <w:p w:rsidR="00D01185" w:rsidRPr="00D01185" w:rsidRDefault="00D01185">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DA6E03" w:rsidP="00E15E21">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Culture of sputum and endotracheal aspirates</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DA6E03">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D01185"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2C8171B"/>
    <w:multiLevelType w:val="hybridMultilevel"/>
    <w:tmpl w:val="4AD0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964BE"/>
    <w:multiLevelType w:val="hybridMultilevel"/>
    <w:tmpl w:val="5B1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80D30"/>
    <w:multiLevelType w:val="hybridMultilevel"/>
    <w:tmpl w:val="135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A14B39"/>
    <w:multiLevelType w:val="hybridMultilevel"/>
    <w:tmpl w:val="2106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3C20C6"/>
    <w:multiLevelType w:val="hybridMultilevel"/>
    <w:tmpl w:val="5E6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180607"/>
    <w:multiLevelType w:val="hybridMultilevel"/>
    <w:tmpl w:val="D20E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2F3853"/>
    <w:multiLevelType w:val="hybridMultilevel"/>
    <w:tmpl w:val="F09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A904D8"/>
    <w:multiLevelType w:val="hybridMultilevel"/>
    <w:tmpl w:val="F4D8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9D735E"/>
    <w:multiLevelType w:val="hybridMultilevel"/>
    <w:tmpl w:val="2ED28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9"/>
  </w:num>
  <w:num w:numId="6">
    <w:abstractNumId w:val="13"/>
  </w:num>
  <w:num w:numId="7">
    <w:abstractNumId w:val="5"/>
  </w:num>
  <w:num w:numId="8">
    <w:abstractNumId w:val="10"/>
  </w:num>
  <w:num w:numId="9">
    <w:abstractNumId w:val="4"/>
  </w:num>
  <w:num w:numId="10">
    <w:abstractNumId w:val="6"/>
  </w:num>
  <w:num w:numId="11">
    <w:abstractNumId w:val="12"/>
  </w:num>
  <w:num w:numId="12">
    <w:abstractNumId w:val="11"/>
  </w:num>
  <w:num w:numId="13">
    <w:abstractNumId w:val="8"/>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E8"/>
    <w:rsid w:val="0000258D"/>
    <w:rsid w:val="000103C0"/>
    <w:rsid w:val="0001221C"/>
    <w:rsid w:val="00014B7A"/>
    <w:rsid w:val="00017316"/>
    <w:rsid w:val="0003682A"/>
    <w:rsid w:val="00037FFC"/>
    <w:rsid w:val="00050523"/>
    <w:rsid w:val="00050F5A"/>
    <w:rsid w:val="00052E0B"/>
    <w:rsid w:val="0006065D"/>
    <w:rsid w:val="00061722"/>
    <w:rsid w:val="00070AE6"/>
    <w:rsid w:val="00080E09"/>
    <w:rsid w:val="00092A32"/>
    <w:rsid w:val="000C0E7D"/>
    <w:rsid w:val="000D2BED"/>
    <w:rsid w:val="000D7864"/>
    <w:rsid w:val="000E42C8"/>
    <w:rsid w:val="000F5056"/>
    <w:rsid w:val="000F6C11"/>
    <w:rsid w:val="001067C9"/>
    <w:rsid w:val="00107CFF"/>
    <w:rsid w:val="00111502"/>
    <w:rsid w:val="0013305D"/>
    <w:rsid w:val="0013416E"/>
    <w:rsid w:val="00135CD7"/>
    <w:rsid w:val="001416B4"/>
    <w:rsid w:val="001541D0"/>
    <w:rsid w:val="00155726"/>
    <w:rsid w:val="00164216"/>
    <w:rsid w:val="00165CAB"/>
    <w:rsid w:val="001845FD"/>
    <w:rsid w:val="001903EE"/>
    <w:rsid w:val="001B1A3E"/>
    <w:rsid w:val="001B2E44"/>
    <w:rsid w:val="001C0D5D"/>
    <w:rsid w:val="001C12FA"/>
    <w:rsid w:val="001C5564"/>
    <w:rsid w:val="001C78DD"/>
    <w:rsid w:val="001D3069"/>
    <w:rsid w:val="001D6CA5"/>
    <w:rsid w:val="001E1CF0"/>
    <w:rsid w:val="001E61AA"/>
    <w:rsid w:val="001F1FEE"/>
    <w:rsid w:val="00205001"/>
    <w:rsid w:val="00220450"/>
    <w:rsid w:val="002207D4"/>
    <w:rsid w:val="00222C33"/>
    <w:rsid w:val="002378B2"/>
    <w:rsid w:val="0025785F"/>
    <w:rsid w:val="00262C29"/>
    <w:rsid w:val="00262CF1"/>
    <w:rsid w:val="002720F6"/>
    <w:rsid w:val="00273D46"/>
    <w:rsid w:val="00284355"/>
    <w:rsid w:val="00287235"/>
    <w:rsid w:val="00297DC4"/>
    <w:rsid w:val="002A0619"/>
    <w:rsid w:val="002A4003"/>
    <w:rsid w:val="002B0540"/>
    <w:rsid w:val="002C531C"/>
    <w:rsid w:val="002D7096"/>
    <w:rsid w:val="002E454D"/>
    <w:rsid w:val="002E4C34"/>
    <w:rsid w:val="002F06D7"/>
    <w:rsid w:val="002F439B"/>
    <w:rsid w:val="00314692"/>
    <w:rsid w:val="003403D8"/>
    <w:rsid w:val="00342E28"/>
    <w:rsid w:val="003532EC"/>
    <w:rsid w:val="003650D0"/>
    <w:rsid w:val="00374FCE"/>
    <w:rsid w:val="003767D9"/>
    <w:rsid w:val="003777E8"/>
    <w:rsid w:val="003A7A8A"/>
    <w:rsid w:val="003E203F"/>
    <w:rsid w:val="003E3668"/>
    <w:rsid w:val="00401CCE"/>
    <w:rsid w:val="00405ACC"/>
    <w:rsid w:val="00427502"/>
    <w:rsid w:val="00430CFE"/>
    <w:rsid w:val="00445588"/>
    <w:rsid w:val="00477C4D"/>
    <w:rsid w:val="004927F0"/>
    <w:rsid w:val="004A35E6"/>
    <w:rsid w:val="004A37C2"/>
    <w:rsid w:val="004B5F42"/>
    <w:rsid w:val="004C4C4B"/>
    <w:rsid w:val="004C61F8"/>
    <w:rsid w:val="00515D26"/>
    <w:rsid w:val="00516CC9"/>
    <w:rsid w:val="00522340"/>
    <w:rsid w:val="005318DB"/>
    <w:rsid w:val="005551B7"/>
    <w:rsid w:val="005651CF"/>
    <w:rsid w:val="0059223F"/>
    <w:rsid w:val="005A1B55"/>
    <w:rsid w:val="005B251F"/>
    <w:rsid w:val="005C3BF6"/>
    <w:rsid w:val="005C633C"/>
    <w:rsid w:val="005E02C6"/>
    <w:rsid w:val="005E2910"/>
    <w:rsid w:val="005E2D38"/>
    <w:rsid w:val="005E619C"/>
    <w:rsid w:val="00607BC3"/>
    <w:rsid w:val="00632989"/>
    <w:rsid w:val="00640E81"/>
    <w:rsid w:val="006538C8"/>
    <w:rsid w:val="00654EBC"/>
    <w:rsid w:val="0065794A"/>
    <w:rsid w:val="006C1DB9"/>
    <w:rsid w:val="006C4703"/>
    <w:rsid w:val="006C64AF"/>
    <w:rsid w:val="006D6F46"/>
    <w:rsid w:val="006F656B"/>
    <w:rsid w:val="00712A6C"/>
    <w:rsid w:val="00726349"/>
    <w:rsid w:val="00726755"/>
    <w:rsid w:val="00727385"/>
    <w:rsid w:val="00734404"/>
    <w:rsid w:val="0073622C"/>
    <w:rsid w:val="00736DAA"/>
    <w:rsid w:val="00742CE0"/>
    <w:rsid w:val="0075617E"/>
    <w:rsid w:val="007740D7"/>
    <w:rsid w:val="0078032C"/>
    <w:rsid w:val="00797C0E"/>
    <w:rsid w:val="007C267D"/>
    <w:rsid w:val="007C4674"/>
    <w:rsid w:val="007C7203"/>
    <w:rsid w:val="007C7A94"/>
    <w:rsid w:val="007D1756"/>
    <w:rsid w:val="007D1CB1"/>
    <w:rsid w:val="007F2718"/>
    <w:rsid w:val="008166E6"/>
    <w:rsid w:val="00826E84"/>
    <w:rsid w:val="00827B5D"/>
    <w:rsid w:val="00831B07"/>
    <w:rsid w:val="0084638E"/>
    <w:rsid w:val="00872110"/>
    <w:rsid w:val="00890C79"/>
    <w:rsid w:val="0089285A"/>
    <w:rsid w:val="008A6CEE"/>
    <w:rsid w:val="008E5800"/>
    <w:rsid w:val="008E6A1F"/>
    <w:rsid w:val="008F1617"/>
    <w:rsid w:val="008F61D3"/>
    <w:rsid w:val="00912418"/>
    <w:rsid w:val="00922F74"/>
    <w:rsid w:val="00924A58"/>
    <w:rsid w:val="00935AF1"/>
    <w:rsid w:val="00935C33"/>
    <w:rsid w:val="0095200E"/>
    <w:rsid w:val="00960FDF"/>
    <w:rsid w:val="00983F5B"/>
    <w:rsid w:val="009914D3"/>
    <w:rsid w:val="00993F92"/>
    <w:rsid w:val="00995876"/>
    <w:rsid w:val="00995F6B"/>
    <w:rsid w:val="009A4AE3"/>
    <w:rsid w:val="009C3E57"/>
    <w:rsid w:val="009C6903"/>
    <w:rsid w:val="009E09F2"/>
    <w:rsid w:val="009E0BD9"/>
    <w:rsid w:val="009E56D7"/>
    <w:rsid w:val="009F131C"/>
    <w:rsid w:val="009F1B07"/>
    <w:rsid w:val="009F1BFD"/>
    <w:rsid w:val="009F789F"/>
    <w:rsid w:val="00A254A7"/>
    <w:rsid w:val="00A2682E"/>
    <w:rsid w:val="00A43F7D"/>
    <w:rsid w:val="00A45664"/>
    <w:rsid w:val="00A53E7A"/>
    <w:rsid w:val="00A76DFD"/>
    <w:rsid w:val="00A77A6A"/>
    <w:rsid w:val="00AA1740"/>
    <w:rsid w:val="00AA31A2"/>
    <w:rsid w:val="00AA7E05"/>
    <w:rsid w:val="00AB52D9"/>
    <w:rsid w:val="00AB694E"/>
    <w:rsid w:val="00AB7A4A"/>
    <w:rsid w:val="00AC12BA"/>
    <w:rsid w:val="00AD2D4E"/>
    <w:rsid w:val="00AD588F"/>
    <w:rsid w:val="00AD5A01"/>
    <w:rsid w:val="00AE2510"/>
    <w:rsid w:val="00AE5F3A"/>
    <w:rsid w:val="00AF12A5"/>
    <w:rsid w:val="00AF160A"/>
    <w:rsid w:val="00B00ECA"/>
    <w:rsid w:val="00B0105C"/>
    <w:rsid w:val="00B25A72"/>
    <w:rsid w:val="00B300CE"/>
    <w:rsid w:val="00B42160"/>
    <w:rsid w:val="00B424F6"/>
    <w:rsid w:val="00B46F3F"/>
    <w:rsid w:val="00B537CE"/>
    <w:rsid w:val="00B62444"/>
    <w:rsid w:val="00B62F56"/>
    <w:rsid w:val="00B63950"/>
    <w:rsid w:val="00B649F2"/>
    <w:rsid w:val="00B83471"/>
    <w:rsid w:val="00B867F2"/>
    <w:rsid w:val="00B9151B"/>
    <w:rsid w:val="00B9205A"/>
    <w:rsid w:val="00BA331E"/>
    <w:rsid w:val="00BA67B7"/>
    <w:rsid w:val="00BA6835"/>
    <w:rsid w:val="00BB34D4"/>
    <w:rsid w:val="00BC2277"/>
    <w:rsid w:val="00BD3B97"/>
    <w:rsid w:val="00BD7AA7"/>
    <w:rsid w:val="00BE36AF"/>
    <w:rsid w:val="00BE7408"/>
    <w:rsid w:val="00BF4A7B"/>
    <w:rsid w:val="00C00018"/>
    <w:rsid w:val="00C1672F"/>
    <w:rsid w:val="00C178D0"/>
    <w:rsid w:val="00C24C8E"/>
    <w:rsid w:val="00C327F6"/>
    <w:rsid w:val="00C356FF"/>
    <w:rsid w:val="00C42B46"/>
    <w:rsid w:val="00C51E32"/>
    <w:rsid w:val="00C53FAB"/>
    <w:rsid w:val="00C722E9"/>
    <w:rsid w:val="00C76BBB"/>
    <w:rsid w:val="00C77F65"/>
    <w:rsid w:val="00C8267C"/>
    <w:rsid w:val="00C8635F"/>
    <w:rsid w:val="00C958D2"/>
    <w:rsid w:val="00C96A91"/>
    <w:rsid w:val="00CB272A"/>
    <w:rsid w:val="00CD193F"/>
    <w:rsid w:val="00CD46B3"/>
    <w:rsid w:val="00CE0DAA"/>
    <w:rsid w:val="00CE139C"/>
    <w:rsid w:val="00D01185"/>
    <w:rsid w:val="00D023B5"/>
    <w:rsid w:val="00D058D8"/>
    <w:rsid w:val="00D12562"/>
    <w:rsid w:val="00D16D65"/>
    <w:rsid w:val="00D219C6"/>
    <w:rsid w:val="00D24538"/>
    <w:rsid w:val="00D31D48"/>
    <w:rsid w:val="00D33D8C"/>
    <w:rsid w:val="00D36001"/>
    <w:rsid w:val="00D416A3"/>
    <w:rsid w:val="00D7649D"/>
    <w:rsid w:val="00D863FC"/>
    <w:rsid w:val="00D93B2C"/>
    <w:rsid w:val="00DA6E03"/>
    <w:rsid w:val="00DB6171"/>
    <w:rsid w:val="00DB76DC"/>
    <w:rsid w:val="00DC5A51"/>
    <w:rsid w:val="00DD0470"/>
    <w:rsid w:val="00DE177D"/>
    <w:rsid w:val="00E02855"/>
    <w:rsid w:val="00E065D7"/>
    <w:rsid w:val="00E15E21"/>
    <w:rsid w:val="00E211A0"/>
    <w:rsid w:val="00E2213F"/>
    <w:rsid w:val="00E26FA7"/>
    <w:rsid w:val="00E33B1E"/>
    <w:rsid w:val="00E35181"/>
    <w:rsid w:val="00E45F25"/>
    <w:rsid w:val="00E47BDE"/>
    <w:rsid w:val="00E50BF5"/>
    <w:rsid w:val="00E536D4"/>
    <w:rsid w:val="00E65C0B"/>
    <w:rsid w:val="00E66BA9"/>
    <w:rsid w:val="00E73FFE"/>
    <w:rsid w:val="00E75290"/>
    <w:rsid w:val="00E770E0"/>
    <w:rsid w:val="00E8035A"/>
    <w:rsid w:val="00E96D99"/>
    <w:rsid w:val="00EA1783"/>
    <w:rsid w:val="00EA629E"/>
    <w:rsid w:val="00EB4BCB"/>
    <w:rsid w:val="00EB7212"/>
    <w:rsid w:val="00EC170C"/>
    <w:rsid w:val="00EC4233"/>
    <w:rsid w:val="00EC7C46"/>
    <w:rsid w:val="00ED071C"/>
    <w:rsid w:val="00ED1662"/>
    <w:rsid w:val="00ED1ABE"/>
    <w:rsid w:val="00EE358F"/>
    <w:rsid w:val="00EE6353"/>
    <w:rsid w:val="00EF0D32"/>
    <w:rsid w:val="00EF0F49"/>
    <w:rsid w:val="00EF2949"/>
    <w:rsid w:val="00F20F73"/>
    <w:rsid w:val="00F306FC"/>
    <w:rsid w:val="00F3392A"/>
    <w:rsid w:val="00F3705A"/>
    <w:rsid w:val="00F41605"/>
    <w:rsid w:val="00F5381F"/>
    <w:rsid w:val="00F602DE"/>
    <w:rsid w:val="00F92AC0"/>
    <w:rsid w:val="00F92ACC"/>
    <w:rsid w:val="00F9569C"/>
    <w:rsid w:val="00F95AF0"/>
    <w:rsid w:val="00FA123E"/>
    <w:rsid w:val="00FA704D"/>
    <w:rsid w:val="00FB0AA3"/>
    <w:rsid w:val="00FB51CD"/>
    <w:rsid w:val="00FC714B"/>
    <w:rsid w:val="00FC759D"/>
    <w:rsid w:val="00FF2F50"/>
    <w:rsid w:val="00FF7354"/>
    <w:rsid w:val="00FF7B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customStyle="1" w:styleId="HPAbodytextTable">
    <w:name w:val="HPA body text Table"/>
    <w:basedOn w:val="Normal"/>
    <w:qFormat/>
    <w:rsid w:val="0013416E"/>
    <w:pPr>
      <w:autoSpaceDE w:val="0"/>
      <w:autoSpaceDN w:val="0"/>
      <w:adjustRightInd w:val="0"/>
      <w:spacing w:before="60" w:line="240" w:lineRule="auto"/>
      <w:jc w:val="left"/>
    </w:pPr>
    <w:rPr>
      <w:rFonts w:ascii="PraxisEF-Light" w:eastAsia="Times New Roman" w:hAnsi="PraxisEF-Light" w:cs="PraxisEF-Light"/>
      <w:sz w:val="20"/>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customStyle="1" w:styleId="HPAbodytextTable">
    <w:name w:val="HPA body text Table"/>
    <w:basedOn w:val="Normal"/>
    <w:qFormat/>
    <w:rsid w:val="0013416E"/>
    <w:pPr>
      <w:autoSpaceDE w:val="0"/>
      <w:autoSpaceDN w:val="0"/>
      <w:adjustRightInd w:val="0"/>
      <w:spacing w:before="60" w:line="240" w:lineRule="auto"/>
      <w:jc w:val="left"/>
    </w:pPr>
    <w:rPr>
      <w:rFonts w:ascii="PraxisEF-Light" w:eastAsia="Times New Roman" w:hAnsi="PraxisEF-Light" w:cs="PraxisEF-Light"/>
      <w:sz w:val="20"/>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2914">
      <w:bodyDiv w:val="1"/>
      <w:marLeft w:val="0"/>
      <w:marRight w:val="0"/>
      <w:marTop w:val="0"/>
      <w:marBottom w:val="0"/>
      <w:divBdr>
        <w:top w:val="none" w:sz="0" w:space="0" w:color="auto"/>
        <w:left w:val="none" w:sz="0" w:space="0" w:color="auto"/>
        <w:bottom w:val="none" w:sz="0" w:space="0" w:color="auto"/>
        <w:right w:val="none" w:sz="0" w:space="0" w:color="auto"/>
      </w:divBdr>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PAUL-HOME\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F658-41D3-4DD9-87A4-D0E02054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COMRU SOP template.dotx</Template>
  <TotalTime>1</TotalTime>
  <Pages>9</Pages>
  <Words>1210</Words>
  <Characters>7241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8435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2013-06-20T04:24:00Z</cp:lastPrinted>
  <dcterms:created xsi:type="dcterms:W3CDTF">2014-03-27T16:24:00Z</dcterms:created>
  <dcterms:modified xsi:type="dcterms:W3CDTF">2014-03-27T16:24:00Z</dcterms:modified>
</cp:coreProperties>
</file>