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D26" w:rsidRPr="00093BA1" w:rsidRDefault="00B83471" w:rsidP="002C3D24">
      <w:pPr>
        <w:pStyle w:val="Heading1"/>
        <w:rPr>
          <w:lang w:val="en-GB"/>
        </w:rPr>
      </w:pPr>
      <w:bookmarkStart w:id="0" w:name="_GoBack"/>
      <w:bookmarkEnd w:id="0"/>
      <w:r w:rsidRPr="00093BA1">
        <w:rPr>
          <w:lang w:val="en-GB"/>
        </w:rPr>
        <w:t>Aim</w:t>
      </w:r>
    </w:p>
    <w:p w:rsidR="009E05EB" w:rsidRPr="00093BA1" w:rsidRDefault="009E05EB" w:rsidP="002C3D24">
      <w:pPr>
        <w:rPr>
          <w:lang w:val="en-GB"/>
        </w:rPr>
      </w:pPr>
      <w:proofErr w:type="gramStart"/>
      <w:r w:rsidRPr="00093BA1">
        <w:rPr>
          <w:lang w:val="en-GB"/>
        </w:rPr>
        <w:t xml:space="preserve">To describe the processing </w:t>
      </w:r>
      <w:r w:rsidR="00B7329C">
        <w:rPr>
          <w:lang w:val="en-GB"/>
        </w:rPr>
        <w:t>of</w:t>
      </w:r>
      <w:r w:rsidRPr="00093BA1">
        <w:rPr>
          <w:lang w:val="en-GB"/>
        </w:rPr>
        <w:t xml:space="preserve"> </w:t>
      </w:r>
      <w:r w:rsidR="000C176E">
        <w:rPr>
          <w:lang w:val="en-GB"/>
        </w:rPr>
        <w:t xml:space="preserve">ear </w:t>
      </w:r>
      <w:r w:rsidRPr="00093BA1">
        <w:rPr>
          <w:lang w:val="en-GB"/>
        </w:rPr>
        <w:t>swabs.</w:t>
      </w:r>
      <w:proofErr w:type="gramEnd"/>
    </w:p>
    <w:p w:rsidR="00405ACC" w:rsidRPr="00093BA1" w:rsidRDefault="00B83471" w:rsidP="002C3D24">
      <w:pPr>
        <w:pStyle w:val="Heading1"/>
        <w:rPr>
          <w:lang w:val="en-GB"/>
        </w:rPr>
      </w:pPr>
      <w:r w:rsidRPr="00093BA1">
        <w:rPr>
          <w:lang w:val="en-GB"/>
        </w:rPr>
        <w:t>Principle</w:t>
      </w:r>
    </w:p>
    <w:p w:rsidR="00AD601A" w:rsidRDefault="009E05EB" w:rsidP="002C3D24">
      <w:pPr>
        <w:rPr>
          <w:lang w:val="en-GB"/>
        </w:rPr>
      </w:pPr>
      <w:r w:rsidRPr="00093BA1">
        <w:rPr>
          <w:lang w:val="en-GB"/>
        </w:rPr>
        <w:t xml:space="preserve">The range of organisms causing </w:t>
      </w:r>
      <w:r w:rsidR="000C176E">
        <w:rPr>
          <w:lang w:val="en-GB"/>
        </w:rPr>
        <w:t>external and middle ear</w:t>
      </w:r>
      <w:r w:rsidRPr="00093BA1">
        <w:rPr>
          <w:lang w:val="en-GB"/>
        </w:rPr>
        <w:t xml:space="preserve"> infections</w:t>
      </w:r>
      <w:r w:rsidR="00AD601A">
        <w:rPr>
          <w:lang w:val="en-GB"/>
        </w:rPr>
        <w:t xml:space="preserve"> is wide.</w:t>
      </w:r>
    </w:p>
    <w:p w:rsidR="006F29EA" w:rsidRDefault="006F29EA" w:rsidP="002C3D24">
      <w:pPr>
        <w:rPr>
          <w:lang w:val="en-GB"/>
        </w:rPr>
      </w:pPr>
      <w:r>
        <w:rPr>
          <w:lang w:val="en-GB"/>
        </w:rPr>
        <w:t>Otitis externa is infection of the external auditory (ear) canal. In general, infections organisms are similar to those causing skin/soft tissue infection. Acute otitis externa can be localised (</w:t>
      </w:r>
      <w:r>
        <w:rPr>
          <w:i/>
          <w:lang w:val="en-GB"/>
        </w:rPr>
        <w:t xml:space="preserve">Staphylococcus aureus </w:t>
      </w:r>
      <w:r>
        <w:rPr>
          <w:lang w:val="en-GB"/>
        </w:rPr>
        <w:t>or Group A streptococcus) or diffuse (</w:t>
      </w:r>
      <w:r>
        <w:rPr>
          <w:i/>
          <w:lang w:val="en-GB"/>
        </w:rPr>
        <w:t xml:space="preserve">S. aureus </w:t>
      </w:r>
      <w:r>
        <w:rPr>
          <w:lang w:val="en-GB"/>
        </w:rPr>
        <w:t xml:space="preserve">or </w:t>
      </w:r>
      <w:r>
        <w:rPr>
          <w:i/>
          <w:lang w:val="en-GB"/>
        </w:rPr>
        <w:t>Pseudomonas aeruginosa</w:t>
      </w:r>
      <w:r>
        <w:rPr>
          <w:lang w:val="en-GB"/>
        </w:rPr>
        <w:t xml:space="preserve">). Anaerobes may be found in </w:t>
      </w:r>
      <w:proofErr w:type="spellStart"/>
      <w:r>
        <w:rPr>
          <w:lang w:val="en-GB"/>
        </w:rPr>
        <w:t>polymicrobial</w:t>
      </w:r>
      <w:proofErr w:type="spellEnd"/>
      <w:r>
        <w:rPr>
          <w:lang w:val="en-GB"/>
        </w:rPr>
        <w:t xml:space="preserve"> infections. Chronic otitis externa is usually due to colonisation with coliforms and fungi (e.g. </w:t>
      </w:r>
      <w:proofErr w:type="spellStart"/>
      <w:r>
        <w:rPr>
          <w:i/>
          <w:lang w:val="en-GB"/>
        </w:rPr>
        <w:t>Aspergillus</w:t>
      </w:r>
      <w:proofErr w:type="spellEnd"/>
      <w:r>
        <w:rPr>
          <w:i/>
          <w:lang w:val="en-GB"/>
        </w:rPr>
        <w:t xml:space="preserve"> </w:t>
      </w:r>
      <w:proofErr w:type="spellStart"/>
      <w:proofErr w:type="gramStart"/>
      <w:r>
        <w:rPr>
          <w:i/>
          <w:lang w:val="en-GB"/>
        </w:rPr>
        <w:t>niger</w:t>
      </w:r>
      <w:proofErr w:type="spellEnd"/>
      <w:proofErr w:type="gramEnd"/>
      <w:r>
        <w:rPr>
          <w:lang w:val="en-GB"/>
        </w:rPr>
        <w:t xml:space="preserve">). Malignant otitis externa is due to an invasive </w:t>
      </w:r>
      <w:r>
        <w:rPr>
          <w:i/>
          <w:lang w:val="en-GB"/>
        </w:rPr>
        <w:t xml:space="preserve">P. aeruginosa </w:t>
      </w:r>
      <w:r>
        <w:rPr>
          <w:lang w:val="en-GB"/>
        </w:rPr>
        <w:t>infection and occurs in diabetics and immunocompromised patients.</w:t>
      </w:r>
    </w:p>
    <w:p w:rsidR="006F29EA" w:rsidRPr="006F29EA" w:rsidRDefault="006F29EA" w:rsidP="002C3D24">
      <w:pPr>
        <w:rPr>
          <w:lang w:val="en-GB"/>
        </w:rPr>
      </w:pPr>
      <w:r>
        <w:rPr>
          <w:lang w:val="en-GB"/>
        </w:rPr>
        <w:t xml:space="preserve">Acute otitis media is infection of the middle ear, usually caused by migration of </w:t>
      </w:r>
      <w:r w:rsidR="00B7329C">
        <w:rPr>
          <w:lang w:val="en-GB"/>
        </w:rPr>
        <w:t>upper respiratory tract</w:t>
      </w:r>
      <w:r>
        <w:rPr>
          <w:lang w:val="en-GB"/>
        </w:rPr>
        <w:t xml:space="preserve"> flora (</w:t>
      </w:r>
      <w:r>
        <w:rPr>
          <w:i/>
          <w:lang w:val="en-GB"/>
        </w:rPr>
        <w:t xml:space="preserve">Streptococcus pneumoniae, Haemophilus influenzae, Moraxella catarrhalis, S. aureus, </w:t>
      </w:r>
      <w:r>
        <w:rPr>
          <w:lang w:val="en-GB"/>
        </w:rPr>
        <w:t xml:space="preserve">Group A streptococcus). Chronic </w:t>
      </w:r>
      <w:proofErr w:type="spellStart"/>
      <w:r>
        <w:rPr>
          <w:lang w:val="en-GB"/>
        </w:rPr>
        <w:t>suppurative</w:t>
      </w:r>
      <w:proofErr w:type="spellEnd"/>
      <w:r>
        <w:rPr>
          <w:lang w:val="en-GB"/>
        </w:rPr>
        <w:t xml:space="preserve"> otitis media is usually associated with </w:t>
      </w:r>
      <w:r>
        <w:rPr>
          <w:i/>
          <w:lang w:val="en-GB"/>
        </w:rPr>
        <w:t>P. aeruginosa</w:t>
      </w:r>
      <w:r>
        <w:rPr>
          <w:lang w:val="en-GB"/>
        </w:rPr>
        <w:t xml:space="preserve">, </w:t>
      </w:r>
      <w:r>
        <w:rPr>
          <w:i/>
          <w:lang w:val="en-GB"/>
        </w:rPr>
        <w:t xml:space="preserve">S. aureus, </w:t>
      </w:r>
      <w:r>
        <w:rPr>
          <w:lang w:val="en-GB"/>
        </w:rPr>
        <w:t>and anaerobes.</w:t>
      </w:r>
    </w:p>
    <w:p w:rsidR="00BF4A7B" w:rsidRPr="00093BA1" w:rsidRDefault="00BF4A7B" w:rsidP="002C3D24">
      <w:pPr>
        <w:rPr>
          <w:lang w:val="en-GB"/>
        </w:rPr>
      </w:pPr>
    </w:p>
    <w:p w:rsidR="00BF4A7B" w:rsidRPr="00093BA1" w:rsidRDefault="00BF4A7B" w:rsidP="002C3D24">
      <w:pPr>
        <w:rPr>
          <w:lang w:val="en-GB"/>
        </w:rPr>
        <w:sectPr w:rsidR="00BF4A7B" w:rsidRPr="00093BA1" w:rsidSect="000C176E">
          <w:headerReference w:type="default" r:id="rId8"/>
          <w:footerReference w:type="default" r:id="rId9"/>
          <w:pgSz w:w="12240" w:h="15840"/>
          <w:pgMar w:top="1440" w:right="1800" w:bottom="1440" w:left="1800" w:header="708" w:footer="708" w:gutter="0"/>
          <w:cols w:space="708"/>
          <w:docGrid w:linePitch="326"/>
        </w:sectPr>
      </w:pPr>
    </w:p>
    <w:p w:rsidR="00BF4A7B" w:rsidRPr="00093BA1" w:rsidRDefault="00BF4A7B" w:rsidP="002C3D24">
      <w:pPr>
        <w:pStyle w:val="Heading1"/>
        <w:rPr>
          <w:lang w:val="en-GB"/>
        </w:rPr>
      </w:pPr>
      <w:r w:rsidRPr="00093BA1">
        <w:rPr>
          <w:lang w:val="en-GB"/>
        </w:rPr>
        <w:lastRenderedPageBreak/>
        <w:t>Method</w:t>
      </w:r>
    </w:p>
    <w:p w:rsidR="00F3273D" w:rsidRPr="00093BA1" w:rsidRDefault="00F3273D" w:rsidP="002C3D24">
      <w:pPr>
        <w:pStyle w:val="Heading2"/>
        <w:rPr>
          <w:lang w:val="en-GB"/>
        </w:rPr>
      </w:pPr>
      <w:r w:rsidRPr="00093BA1">
        <w:rPr>
          <w:lang w:val="en-GB"/>
        </w:rPr>
        <w:t>Specimen collection</w:t>
      </w:r>
    </w:p>
    <w:p w:rsidR="006F29EA" w:rsidRPr="00093BA1" w:rsidRDefault="006F29EA" w:rsidP="006F29EA">
      <w:pPr>
        <w:rPr>
          <w:lang w:val="en-GB"/>
        </w:rPr>
      </w:pPr>
      <w:r>
        <w:rPr>
          <w:lang w:val="en-GB"/>
        </w:rPr>
        <w:t xml:space="preserve">Specimens should be collected using sterile swabs and placed into </w:t>
      </w:r>
      <w:proofErr w:type="spellStart"/>
      <w:r>
        <w:rPr>
          <w:lang w:val="en-GB"/>
        </w:rPr>
        <w:t>Amies</w:t>
      </w:r>
      <w:proofErr w:type="spellEnd"/>
      <w:r>
        <w:rPr>
          <w:lang w:val="en-GB"/>
        </w:rPr>
        <w:t xml:space="preserve"> transport medium (+/-charcoal).</w:t>
      </w:r>
    </w:p>
    <w:p w:rsidR="00E303D4" w:rsidRPr="00093BA1" w:rsidRDefault="00E303D4" w:rsidP="002C3D24">
      <w:pPr>
        <w:pStyle w:val="Heading2"/>
        <w:rPr>
          <w:lang w:val="en-GB"/>
        </w:rPr>
      </w:pPr>
      <w:r w:rsidRPr="00093BA1">
        <w:rPr>
          <w:lang w:val="en-GB"/>
        </w:rPr>
        <w:t>Specimen transport and storage</w:t>
      </w:r>
    </w:p>
    <w:p w:rsidR="00E303D4" w:rsidRPr="00093BA1" w:rsidRDefault="00E303D4" w:rsidP="002C3D24">
      <w:pPr>
        <w:rPr>
          <w:lang w:val="en-GB"/>
        </w:rPr>
      </w:pPr>
      <w:r w:rsidRPr="00093BA1">
        <w:rPr>
          <w:lang w:val="en-GB"/>
        </w:rPr>
        <w:t>Specimens should ideally be stored and transported in sealed plastic bags. Laboratory processing should occur as soon as possible after specimen collection. Specimens should be refrigerated if delays in processing over two hours are unavoidable.</w:t>
      </w:r>
    </w:p>
    <w:p w:rsidR="00E303D4" w:rsidRPr="00093BA1" w:rsidRDefault="00E303D4" w:rsidP="002C3D24">
      <w:pPr>
        <w:pStyle w:val="Heading2"/>
        <w:rPr>
          <w:lang w:val="en-GB"/>
        </w:rPr>
      </w:pPr>
      <w:r w:rsidRPr="00093BA1">
        <w:rPr>
          <w:lang w:val="en-GB"/>
        </w:rPr>
        <w:t>Specimen processing</w:t>
      </w:r>
    </w:p>
    <w:p w:rsidR="00E303D4" w:rsidRPr="00093BA1" w:rsidRDefault="00E303D4" w:rsidP="002C3D24">
      <w:pPr>
        <w:pStyle w:val="Heading3"/>
        <w:rPr>
          <w:lang w:val="en-GB"/>
        </w:rPr>
      </w:pPr>
      <w:r w:rsidRPr="00093BA1">
        <w:rPr>
          <w:lang w:val="en-GB"/>
        </w:rPr>
        <w:t>Reception</w:t>
      </w:r>
    </w:p>
    <w:p w:rsidR="00E303D4" w:rsidRPr="00093BA1" w:rsidRDefault="00E303D4" w:rsidP="002C3D24">
      <w:pPr>
        <w:rPr>
          <w:lang w:val="en-GB"/>
        </w:rPr>
      </w:pPr>
      <w:r w:rsidRPr="00093BA1">
        <w:rPr>
          <w:lang w:val="en-GB"/>
        </w:rPr>
        <w:t>Log the specimen in the appropriate specimen book and assign a specimen number.</w:t>
      </w:r>
    </w:p>
    <w:p w:rsidR="00E303D4" w:rsidRPr="00093BA1" w:rsidRDefault="00E303D4" w:rsidP="002C3D24">
      <w:pPr>
        <w:pStyle w:val="Heading3"/>
        <w:rPr>
          <w:lang w:val="en-GB"/>
        </w:rPr>
      </w:pPr>
      <w:r w:rsidRPr="00093BA1">
        <w:rPr>
          <w:lang w:val="en-GB"/>
        </w:rPr>
        <w:t>Microscopic examination</w:t>
      </w:r>
    </w:p>
    <w:p w:rsidR="00E303D4" w:rsidRPr="00093BA1" w:rsidRDefault="000C176E" w:rsidP="000C176E">
      <w:pPr>
        <w:rPr>
          <w:lang w:val="en-GB"/>
        </w:rPr>
      </w:pPr>
      <w:r>
        <w:rPr>
          <w:iCs/>
          <w:lang w:val="en-GB"/>
        </w:rPr>
        <w:t>After inoculating the appropriate agar plates p</w:t>
      </w:r>
      <w:r w:rsidR="00E303D4" w:rsidRPr="00093BA1">
        <w:rPr>
          <w:iCs/>
          <w:lang w:val="en-GB"/>
        </w:rPr>
        <w:t xml:space="preserve">repare a smear </w:t>
      </w:r>
      <w:r>
        <w:rPr>
          <w:iCs/>
          <w:lang w:val="en-GB"/>
        </w:rPr>
        <w:t>of the specimen and Gram stain.</w:t>
      </w:r>
    </w:p>
    <w:p w:rsidR="000C176E" w:rsidRDefault="000C176E" w:rsidP="000C176E">
      <w:pPr>
        <w:pStyle w:val="Heading3"/>
        <w:rPr>
          <w:lang w:val="en-GB"/>
        </w:rPr>
      </w:pPr>
      <w:r>
        <w:rPr>
          <w:lang w:val="en-GB"/>
        </w:rPr>
        <w:t>Culture</w:t>
      </w:r>
    </w:p>
    <w:p w:rsidR="005544A3" w:rsidRPr="00093BA1" w:rsidRDefault="005544A3" w:rsidP="002C3D24">
      <w:pPr>
        <w:rPr>
          <w:lang w:val="en-GB"/>
        </w:rPr>
      </w:pPr>
      <w:r w:rsidRPr="00093BA1">
        <w:rPr>
          <w:lang w:val="en-GB"/>
        </w:rPr>
        <w:t>Inoculate and incubate culture media as indicated in Table 1.</w:t>
      </w:r>
    </w:p>
    <w:p w:rsidR="00093BA1" w:rsidRPr="00093BA1" w:rsidRDefault="00093BA1" w:rsidP="00093BA1">
      <w:pPr>
        <w:keepNext/>
        <w:widowControl w:val="0"/>
        <w:tabs>
          <w:tab w:val="left" w:pos="426"/>
          <w:tab w:val="left" w:pos="709"/>
          <w:tab w:val="left" w:pos="993"/>
        </w:tabs>
        <w:autoSpaceDE w:val="0"/>
        <w:autoSpaceDN w:val="0"/>
        <w:adjustRightInd w:val="0"/>
        <w:spacing w:after="240" w:line="240" w:lineRule="auto"/>
        <w:outlineLvl w:val="2"/>
        <w:rPr>
          <w:rFonts w:ascii="Arial" w:eastAsia="Times New Roman" w:hAnsi="Arial" w:cs="Helvetica"/>
          <w:b/>
          <w:i/>
          <w:color w:val="0D0D0D" w:themeColor="text1" w:themeTint="F2"/>
          <w:szCs w:val="24"/>
          <w:lang w:val="en-GB"/>
        </w:rPr>
        <w:sectPr w:rsidR="00093BA1" w:rsidRPr="00093BA1" w:rsidSect="000C176E">
          <w:headerReference w:type="default" r:id="rId10"/>
          <w:pgSz w:w="12240" w:h="15840"/>
          <w:pgMar w:top="1440" w:right="1800" w:bottom="1440" w:left="1800" w:header="708" w:footer="708" w:gutter="0"/>
          <w:cols w:space="708"/>
          <w:docGrid w:linePitch="326"/>
        </w:sectPr>
      </w:pPr>
    </w:p>
    <w:p w:rsidR="00093BA1" w:rsidRPr="00093BA1" w:rsidRDefault="00093BA1" w:rsidP="00093BA1">
      <w:pPr>
        <w:rPr>
          <w:b/>
          <w:lang w:val="en-GB"/>
        </w:rPr>
      </w:pPr>
      <w:proofErr w:type="gramStart"/>
      <w:r w:rsidRPr="00093BA1">
        <w:rPr>
          <w:b/>
          <w:lang w:val="en-GB"/>
        </w:rPr>
        <w:lastRenderedPageBreak/>
        <w:t>Table 1.</w:t>
      </w:r>
      <w:proofErr w:type="gramEnd"/>
      <w:r w:rsidRPr="00093BA1">
        <w:rPr>
          <w:b/>
          <w:lang w:val="en-GB"/>
        </w:rPr>
        <w:t xml:space="preserve"> </w:t>
      </w:r>
      <w:r w:rsidRPr="00A12AEE">
        <w:rPr>
          <w:lang w:val="en-GB"/>
        </w:rPr>
        <w:t>Culture media, conditions, and target organisms</w:t>
      </w:r>
    </w:p>
    <w:tbl>
      <w:tblPr>
        <w:tblStyle w:val="TableGrid"/>
        <w:tblW w:w="9180" w:type="dxa"/>
        <w:tblLayout w:type="fixed"/>
        <w:tblLook w:val="04A0" w:firstRow="1" w:lastRow="0" w:firstColumn="1" w:lastColumn="0" w:noHBand="0" w:noVBand="1"/>
      </w:tblPr>
      <w:tblGrid>
        <w:gridCol w:w="1843"/>
        <w:gridCol w:w="1276"/>
        <w:gridCol w:w="1417"/>
        <w:gridCol w:w="1134"/>
        <w:gridCol w:w="1559"/>
        <w:gridCol w:w="1951"/>
      </w:tblGrid>
      <w:tr w:rsidR="000C176E" w:rsidRPr="00093BA1" w:rsidTr="00C872AD">
        <w:tc>
          <w:tcPr>
            <w:tcW w:w="1843" w:type="dxa"/>
            <w:vMerge w:val="restart"/>
            <w:shd w:val="clear" w:color="auto" w:fill="BFBFBF" w:themeFill="background1" w:themeFillShade="BF"/>
          </w:tcPr>
          <w:p w:rsidR="000C176E" w:rsidRPr="001622B7" w:rsidRDefault="000C176E" w:rsidP="00A47A0F">
            <w:pPr>
              <w:spacing w:after="80"/>
              <w:jc w:val="left"/>
              <w:rPr>
                <w:b/>
                <w:iCs/>
                <w:szCs w:val="24"/>
                <w:lang w:val="en-GB"/>
              </w:rPr>
            </w:pPr>
            <w:r w:rsidRPr="001622B7">
              <w:rPr>
                <w:b/>
                <w:iCs/>
                <w:szCs w:val="24"/>
                <w:lang w:val="en-GB"/>
              </w:rPr>
              <w:t>Standard media</w:t>
            </w:r>
          </w:p>
        </w:tc>
        <w:tc>
          <w:tcPr>
            <w:tcW w:w="3827" w:type="dxa"/>
            <w:gridSpan w:val="3"/>
            <w:tcBorders>
              <w:bottom w:val="single" w:sz="4" w:space="0" w:color="auto"/>
            </w:tcBorders>
            <w:shd w:val="clear" w:color="auto" w:fill="BFBFBF" w:themeFill="background1" w:themeFillShade="BF"/>
          </w:tcPr>
          <w:p w:rsidR="000C176E" w:rsidRPr="001622B7" w:rsidRDefault="000C176E" w:rsidP="00A47A0F">
            <w:pPr>
              <w:spacing w:after="80"/>
              <w:jc w:val="center"/>
              <w:rPr>
                <w:b/>
                <w:iCs/>
                <w:szCs w:val="24"/>
                <w:lang w:val="en-GB"/>
              </w:rPr>
            </w:pPr>
            <w:r w:rsidRPr="001622B7">
              <w:rPr>
                <w:b/>
                <w:iCs/>
                <w:szCs w:val="24"/>
                <w:lang w:val="en-GB"/>
              </w:rPr>
              <w:t>Incubation</w:t>
            </w:r>
          </w:p>
        </w:tc>
        <w:tc>
          <w:tcPr>
            <w:tcW w:w="1559" w:type="dxa"/>
            <w:vMerge w:val="restart"/>
            <w:shd w:val="clear" w:color="auto" w:fill="BFBFBF" w:themeFill="background1" w:themeFillShade="BF"/>
          </w:tcPr>
          <w:p w:rsidR="000C176E" w:rsidRPr="001622B7" w:rsidRDefault="000C176E" w:rsidP="00A47A0F">
            <w:pPr>
              <w:spacing w:after="80"/>
              <w:rPr>
                <w:b/>
                <w:iCs/>
                <w:szCs w:val="24"/>
                <w:lang w:val="en-GB"/>
              </w:rPr>
            </w:pPr>
            <w:r w:rsidRPr="001622B7">
              <w:rPr>
                <w:b/>
                <w:iCs/>
                <w:szCs w:val="24"/>
                <w:lang w:val="en-GB"/>
              </w:rPr>
              <w:t>Cultures read</w:t>
            </w:r>
          </w:p>
        </w:tc>
        <w:tc>
          <w:tcPr>
            <w:tcW w:w="1951" w:type="dxa"/>
            <w:vMerge w:val="restart"/>
            <w:shd w:val="clear" w:color="auto" w:fill="BFBFBF" w:themeFill="background1" w:themeFillShade="BF"/>
          </w:tcPr>
          <w:p w:rsidR="000C176E" w:rsidRPr="001622B7" w:rsidRDefault="000C176E" w:rsidP="00A47A0F">
            <w:pPr>
              <w:spacing w:after="80"/>
              <w:rPr>
                <w:b/>
                <w:iCs/>
                <w:szCs w:val="24"/>
                <w:lang w:val="en-GB"/>
              </w:rPr>
            </w:pPr>
            <w:r w:rsidRPr="001622B7">
              <w:rPr>
                <w:b/>
                <w:iCs/>
                <w:szCs w:val="24"/>
                <w:lang w:val="en-GB"/>
              </w:rPr>
              <w:t>Target organism(s)</w:t>
            </w:r>
          </w:p>
        </w:tc>
      </w:tr>
      <w:tr w:rsidR="000C176E" w:rsidRPr="00093BA1" w:rsidTr="00C872AD">
        <w:tc>
          <w:tcPr>
            <w:tcW w:w="1843" w:type="dxa"/>
            <w:vMerge/>
            <w:tcBorders>
              <w:bottom w:val="single" w:sz="4" w:space="0" w:color="auto"/>
            </w:tcBorders>
          </w:tcPr>
          <w:p w:rsidR="000C176E" w:rsidRPr="001622B7" w:rsidRDefault="000C176E" w:rsidP="00A47A0F">
            <w:pPr>
              <w:spacing w:after="80"/>
              <w:rPr>
                <w:b/>
                <w:bCs/>
                <w:iCs/>
                <w:szCs w:val="24"/>
                <w:lang w:val="en-GB"/>
              </w:rPr>
            </w:pPr>
          </w:p>
        </w:tc>
        <w:tc>
          <w:tcPr>
            <w:tcW w:w="1276" w:type="dxa"/>
            <w:tcBorders>
              <w:bottom w:val="single" w:sz="4" w:space="0" w:color="auto"/>
            </w:tcBorders>
            <w:shd w:val="clear" w:color="auto" w:fill="BFBFBF" w:themeFill="background1" w:themeFillShade="BF"/>
          </w:tcPr>
          <w:p w:rsidR="000C176E" w:rsidRPr="001622B7" w:rsidRDefault="000C176E" w:rsidP="00A47A0F">
            <w:pPr>
              <w:spacing w:after="80"/>
              <w:rPr>
                <w:b/>
                <w:iCs/>
                <w:szCs w:val="24"/>
                <w:lang w:val="en-GB"/>
              </w:rPr>
            </w:pPr>
            <w:r w:rsidRPr="001622B7">
              <w:rPr>
                <w:b/>
                <w:iCs/>
                <w:szCs w:val="24"/>
                <w:lang w:val="en-GB"/>
              </w:rPr>
              <w:t>Temp (°C)</w:t>
            </w:r>
          </w:p>
        </w:tc>
        <w:tc>
          <w:tcPr>
            <w:tcW w:w="1417" w:type="dxa"/>
            <w:tcBorders>
              <w:bottom w:val="single" w:sz="4" w:space="0" w:color="auto"/>
            </w:tcBorders>
            <w:shd w:val="clear" w:color="auto" w:fill="BFBFBF" w:themeFill="background1" w:themeFillShade="BF"/>
          </w:tcPr>
          <w:p w:rsidR="000C176E" w:rsidRPr="001622B7" w:rsidRDefault="000C176E" w:rsidP="00A47A0F">
            <w:pPr>
              <w:spacing w:after="80"/>
              <w:rPr>
                <w:b/>
                <w:iCs/>
                <w:szCs w:val="24"/>
                <w:lang w:val="en-GB"/>
              </w:rPr>
            </w:pPr>
            <w:r w:rsidRPr="001622B7">
              <w:rPr>
                <w:b/>
                <w:iCs/>
                <w:szCs w:val="24"/>
                <w:lang w:val="en-GB"/>
              </w:rPr>
              <w:t>Atmosphere</w:t>
            </w:r>
          </w:p>
        </w:tc>
        <w:tc>
          <w:tcPr>
            <w:tcW w:w="1134" w:type="dxa"/>
            <w:tcBorders>
              <w:bottom w:val="single" w:sz="4" w:space="0" w:color="auto"/>
            </w:tcBorders>
            <w:shd w:val="clear" w:color="auto" w:fill="BFBFBF" w:themeFill="background1" w:themeFillShade="BF"/>
          </w:tcPr>
          <w:p w:rsidR="000C176E" w:rsidRPr="001622B7" w:rsidRDefault="000C176E" w:rsidP="00A47A0F">
            <w:pPr>
              <w:spacing w:after="80"/>
              <w:rPr>
                <w:b/>
                <w:iCs/>
                <w:szCs w:val="24"/>
                <w:lang w:val="en-GB"/>
              </w:rPr>
            </w:pPr>
            <w:r w:rsidRPr="001622B7">
              <w:rPr>
                <w:b/>
                <w:iCs/>
                <w:szCs w:val="24"/>
                <w:lang w:val="en-GB"/>
              </w:rPr>
              <w:t>Time</w:t>
            </w:r>
          </w:p>
        </w:tc>
        <w:tc>
          <w:tcPr>
            <w:tcW w:w="1559" w:type="dxa"/>
            <w:vMerge/>
            <w:tcBorders>
              <w:bottom w:val="single" w:sz="4" w:space="0" w:color="auto"/>
            </w:tcBorders>
          </w:tcPr>
          <w:p w:rsidR="000C176E" w:rsidRPr="001622B7" w:rsidRDefault="000C176E" w:rsidP="00A47A0F">
            <w:pPr>
              <w:spacing w:after="80"/>
              <w:rPr>
                <w:b/>
                <w:bCs/>
                <w:iCs/>
                <w:szCs w:val="24"/>
                <w:lang w:val="en-GB"/>
              </w:rPr>
            </w:pPr>
          </w:p>
        </w:tc>
        <w:tc>
          <w:tcPr>
            <w:tcW w:w="1951" w:type="dxa"/>
            <w:vMerge/>
            <w:tcBorders>
              <w:bottom w:val="single" w:sz="4" w:space="0" w:color="auto"/>
            </w:tcBorders>
          </w:tcPr>
          <w:p w:rsidR="000C176E" w:rsidRPr="001622B7" w:rsidRDefault="000C176E" w:rsidP="00A47A0F">
            <w:pPr>
              <w:spacing w:after="80"/>
              <w:rPr>
                <w:b/>
                <w:bCs/>
                <w:iCs/>
                <w:szCs w:val="24"/>
                <w:lang w:val="en-GB"/>
              </w:rPr>
            </w:pPr>
          </w:p>
        </w:tc>
      </w:tr>
      <w:tr w:rsidR="006D7E12" w:rsidRPr="00093BA1" w:rsidTr="000C176E">
        <w:tc>
          <w:tcPr>
            <w:tcW w:w="1843" w:type="dxa"/>
            <w:tcBorders>
              <w:top w:val="single" w:sz="4" w:space="0" w:color="auto"/>
            </w:tcBorders>
          </w:tcPr>
          <w:p w:rsidR="006D7E12" w:rsidRPr="001622B7" w:rsidRDefault="006D7E12" w:rsidP="00C83672">
            <w:pPr>
              <w:spacing w:after="80"/>
              <w:jc w:val="left"/>
              <w:rPr>
                <w:bCs/>
                <w:iCs/>
                <w:szCs w:val="24"/>
                <w:lang w:val="en-GB"/>
              </w:rPr>
            </w:pPr>
            <w:r w:rsidRPr="001622B7">
              <w:rPr>
                <w:bCs/>
                <w:iCs/>
                <w:szCs w:val="24"/>
                <w:lang w:val="en-GB"/>
              </w:rPr>
              <w:t>Chocolate agar</w:t>
            </w:r>
          </w:p>
        </w:tc>
        <w:tc>
          <w:tcPr>
            <w:tcW w:w="1276" w:type="dxa"/>
            <w:tcBorders>
              <w:top w:val="single" w:sz="4" w:space="0" w:color="auto"/>
            </w:tcBorders>
          </w:tcPr>
          <w:p w:rsidR="006D7E12" w:rsidRPr="001622B7" w:rsidRDefault="006D7E12" w:rsidP="00C83672">
            <w:pPr>
              <w:spacing w:after="80"/>
              <w:jc w:val="left"/>
              <w:rPr>
                <w:bCs/>
                <w:iCs/>
                <w:szCs w:val="24"/>
                <w:lang w:val="en-GB"/>
              </w:rPr>
            </w:pPr>
            <w:r w:rsidRPr="001622B7">
              <w:rPr>
                <w:bCs/>
                <w:iCs/>
                <w:szCs w:val="24"/>
                <w:lang w:val="en-GB"/>
              </w:rPr>
              <w:t>35 – 37</w:t>
            </w:r>
          </w:p>
        </w:tc>
        <w:tc>
          <w:tcPr>
            <w:tcW w:w="1417" w:type="dxa"/>
            <w:tcBorders>
              <w:top w:val="single" w:sz="4" w:space="0" w:color="auto"/>
            </w:tcBorders>
          </w:tcPr>
          <w:p w:rsidR="006D7E12" w:rsidRPr="001622B7" w:rsidRDefault="006D7E12" w:rsidP="00C83672">
            <w:pPr>
              <w:spacing w:after="80"/>
              <w:jc w:val="left"/>
              <w:rPr>
                <w:bCs/>
                <w:iCs/>
                <w:szCs w:val="24"/>
                <w:vertAlign w:val="subscript"/>
                <w:lang w:val="en-GB"/>
              </w:rPr>
            </w:pPr>
            <w:r w:rsidRPr="001622B7">
              <w:rPr>
                <w:bCs/>
                <w:iCs/>
                <w:szCs w:val="24"/>
                <w:lang w:val="en-GB"/>
              </w:rPr>
              <w:t>5 – 10% CO</w:t>
            </w:r>
            <w:r w:rsidRPr="001622B7">
              <w:rPr>
                <w:bCs/>
                <w:iCs/>
                <w:szCs w:val="24"/>
                <w:vertAlign w:val="subscript"/>
                <w:lang w:val="en-GB"/>
              </w:rPr>
              <w:t>2</w:t>
            </w:r>
          </w:p>
        </w:tc>
        <w:tc>
          <w:tcPr>
            <w:tcW w:w="1134" w:type="dxa"/>
            <w:tcBorders>
              <w:top w:val="single" w:sz="4" w:space="0" w:color="auto"/>
            </w:tcBorders>
          </w:tcPr>
          <w:p w:rsidR="006D7E12" w:rsidRPr="001622B7" w:rsidRDefault="00B7329C" w:rsidP="00C83672">
            <w:pPr>
              <w:spacing w:after="80"/>
              <w:jc w:val="left"/>
              <w:rPr>
                <w:bCs/>
                <w:iCs/>
                <w:szCs w:val="24"/>
                <w:lang w:val="en-GB"/>
              </w:rPr>
            </w:pPr>
            <w:r>
              <w:rPr>
                <w:bCs/>
                <w:iCs/>
                <w:szCs w:val="24"/>
                <w:lang w:val="en-GB"/>
              </w:rPr>
              <w:t xml:space="preserve">40 - </w:t>
            </w:r>
            <w:r w:rsidR="006D7E12" w:rsidRPr="001622B7">
              <w:rPr>
                <w:bCs/>
                <w:iCs/>
                <w:szCs w:val="24"/>
                <w:lang w:val="en-GB"/>
              </w:rPr>
              <w:t>48h</w:t>
            </w:r>
          </w:p>
        </w:tc>
        <w:tc>
          <w:tcPr>
            <w:tcW w:w="1559" w:type="dxa"/>
            <w:tcBorders>
              <w:top w:val="single" w:sz="4" w:space="0" w:color="auto"/>
            </w:tcBorders>
          </w:tcPr>
          <w:p w:rsidR="006D7E12" w:rsidRPr="001622B7" w:rsidRDefault="006D7E12" w:rsidP="00C83672">
            <w:pPr>
              <w:spacing w:after="80"/>
              <w:jc w:val="left"/>
              <w:rPr>
                <w:bCs/>
                <w:iCs/>
                <w:szCs w:val="24"/>
                <w:lang w:val="en-GB"/>
              </w:rPr>
            </w:pPr>
            <w:r w:rsidRPr="001622B7">
              <w:rPr>
                <w:bCs/>
                <w:iCs/>
                <w:szCs w:val="24"/>
                <w:lang w:val="en-GB"/>
              </w:rPr>
              <w:t>Daily</w:t>
            </w:r>
          </w:p>
        </w:tc>
        <w:tc>
          <w:tcPr>
            <w:tcW w:w="1951" w:type="dxa"/>
            <w:tcBorders>
              <w:top w:val="single" w:sz="4" w:space="0" w:color="auto"/>
            </w:tcBorders>
          </w:tcPr>
          <w:p w:rsidR="006D7E12" w:rsidRDefault="00B7329C" w:rsidP="00C83672">
            <w:pPr>
              <w:spacing w:after="80"/>
              <w:jc w:val="left"/>
              <w:rPr>
                <w:bCs/>
                <w:iCs/>
                <w:szCs w:val="24"/>
                <w:lang w:val="en-GB"/>
              </w:rPr>
            </w:pPr>
            <w:r>
              <w:rPr>
                <w:bCs/>
                <w:i/>
                <w:szCs w:val="24"/>
                <w:lang w:val="en-GB"/>
              </w:rPr>
              <w:t>H. influenzae</w:t>
            </w:r>
          </w:p>
          <w:p w:rsidR="006F29EA" w:rsidRDefault="006F29EA" w:rsidP="00C83672">
            <w:pPr>
              <w:spacing w:after="80"/>
              <w:jc w:val="left"/>
              <w:rPr>
                <w:bCs/>
                <w:i/>
                <w:iCs/>
                <w:szCs w:val="24"/>
                <w:lang w:val="en-GB"/>
              </w:rPr>
            </w:pPr>
            <w:r>
              <w:rPr>
                <w:bCs/>
                <w:i/>
                <w:iCs/>
                <w:szCs w:val="24"/>
                <w:lang w:val="en-GB"/>
              </w:rPr>
              <w:t>M catarrhalis</w:t>
            </w:r>
          </w:p>
          <w:p w:rsidR="006F29EA" w:rsidRDefault="006F29EA" w:rsidP="00C83672">
            <w:pPr>
              <w:spacing w:after="80"/>
              <w:jc w:val="left"/>
              <w:rPr>
                <w:bCs/>
                <w:i/>
                <w:iCs/>
                <w:szCs w:val="24"/>
                <w:lang w:val="en-GB"/>
              </w:rPr>
            </w:pPr>
            <w:r>
              <w:rPr>
                <w:bCs/>
                <w:i/>
                <w:iCs/>
                <w:szCs w:val="24"/>
                <w:lang w:val="en-GB"/>
              </w:rPr>
              <w:t>S. pneumoniae</w:t>
            </w:r>
          </w:p>
          <w:p w:rsidR="006D7E12" w:rsidRPr="001622B7" w:rsidRDefault="006F29EA" w:rsidP="006F29EA">
            <w:pPr>
              <w:spacing w:after="80"/>
              <w:jc w:val="left"/>
              <w:rPr>
                <w:bCs/>
                <w:iCs/>
                <w:szCs w:val="24"/>
                <w:lang w:val="en-GB"/>
              </w:rPr>
            </w:pPr>
            <w:r>
              <w:rPr>
                <w:bCs/>
                <w:iCs/>
                <w:szCs w:val="24"/>
                <w:lang w:val="en-GB"/>
              </w:rPr>
              <w:t>Other organisms may be significant if pure growth</w:t>
            </w:r>
          </w:p>
        </w:tc>
      </w:tr>
      <w:tr w:rsidR="006D7E12" w:rsidRPr="00093BA1" w:rsidTr="000C176E">
        <w:tc>
          <w:tcPr>
            <w:tcW w:w="1843" w:type="dxa"/>
          </w:tcPr>
          <w:p w:rsidR="006D7E12" w:rsidRPr="001622B7" w:rsidRDefault="006D7E12" w:rsidP="00C83672">
            <w:pPr>
              <w:spacing w:after="80"/>
              <w:jc w:val="left"/>
              <w:rPr>
                <w:bCs/>
                <w:iCs/>
                <w:szCs w:val="24"/>
                <w:lang w:val="en-GB"/>
              </w:rPr>
            </w:pPr>
            <w:r w:rsidRPr="001622B7">
              <w:rPr>
                <w:bCs/>
                <w:iCs/>
                <w:szCs w:val="24"/>
                <w:lang w:val="en-GB"/>
              </w:rPr>
              <w:t>CNA-blood agar</w:t>
            </w:r>
          </w:p>
        </w:tc>
        <w:tc>
          <w:tcPr>
            <w:tcW w:w="1276" w:type="dxa"/>
          </w:tcPr>
          <w:p w:rsidR="006D7E12" w:rsidRPr="001622B7" w:rsidRDefault="006D7E12" w:rsidP="00C83672">
            <w:pPr>
              <w:spacing w:after="80"/>
              <w:jc w:val="left"/>
              <w:rPr>
                <w:bCs/>
                <w:iCs/>
                <w:szCs w:val="24"/>
                <w:lang w:val="en-GB"/>
              </w:rPr>
            </w:pPr>
            <w:r w:rsidRPr="001622B7">
              <w:rPr>
                <w:bCs/>
                <w:iCs/>
                <w:szCs w:val="24"/>
                <w:lang w:val="en-GB"/>
              </w:rPr>
              <w:t>35 – 37</w:t>
            </w:r>
          </w:p>
        </w:tc>
        <w:tc>
          <w:tcPr>
            <w:tcW w:w="1417" w:type="dxa"/>
          </w:tcPr>
          <w:p w:rsidR="006D7E12" w:rsidRPr="001622B7" w:rsidRDefault="006D7E12" w:rsidP="00C83672">
            <w:pPr>
              <w:spacing w:after="80"/>
              <w:jc w:val="left"/>
              <w:rPr>
                <w:bCs/>
                <w:iCs/>
                <w:szCs w:val="24"/>
                <w:vertAlign w:val="subscript"/>
                <w:lang w:val="en-GB"/>
              </w:rPr>
            </w:pPr>
            <w:r w:rsidRPr="001622B7">
              <w:rPr>
                <w:bCs/>
                <w:iCs/>
                <w:szCs w:val="24"/>
                <w:lang w:val="en-GB"/>
              </w:rPr>
              <w:t>Air</w:t>
            </w:r>
          </w:p>
        </w:tc>
        <w:tc>
          <w:tcPr>
            <w:tcW w:w="1134" w:type="dxa"/>
          </w:tcPr>
          <w:p w:rsidR="006D7E12" w:rsidRPr="001622B7" w:rsidRDefault="00B7329C" w:rsidP="00C83672">
            <w:pPr>
              <w:spacing w:after="80"/>
              <w:jc w:val="left"/>
              <w:rPr>
                <w:bCs/>
                <w:iCs/>
                <w:szCs w:val="24"/>
                <w:lang w:val="en-GB"/>
              </w:rPr>
            </w:pPr>
            <w:r>
              <w:rPr>
                <w:bCs/>
                <w:iCs/>
                <w:szCs w:val="24"/>
                <w:lang w:val="en-GB"/>
              </w:rPr>
              <w:t xml:space="preserve">40 - </w:t>
            </w:r>
            <w:r w:rsidR="006D7E12" w:rsidRPr="001622B7">
              <w:rPr>
                <w:bCs/>
                <w:iCs/>
                <w:szCs w:val="24"/>
                <w:lang w:val="en-GB"/>
              </w:rPr>
              <w:t>48h</w:t>
            </w:r>
          </w:p>
        </w:tc>
        <w:tc>
          <w:tcPr>
            <w:tcW w:w="1559" w:type="dxa"/>
          </w:tcPr>
          <w:p w:rsidR="006D7E12" w:rsidRPr="001622B7" w:rsidRDefault="006D7E12" w:rsidP="00C83672">
            <w:pPr>
              <w:spacing w:after="80"/>
              <w:jc w:val="left"/>
              <w:rPr>
                <w:bCs/>
                <w:iCs/>
                <w:szCs w:val="24"/>
                <w:lang w:val="en-GB"/>
              </w:rPr>
            </w:pPr>
            <w:r w:rsidRPr="001622B7">
              <w:rPr>
                <w:bCs/>
                <w:iCs/>
                <w:szCs w:val="24"/>
                <w:lang w:val="en-GB"/>
              </w:rPr>
              <w:t>Daily</w:t>
            </w:r>
          </w:p>
        </w:tc>
        <w:tc>
          <w:tcPr>
            <w:tcW w:w="1951" w:type="dxa"/>
          </w:tcPr>
          <w:p w:rsidR="006D7E12" w:rsidRPr="001622B7" w:rsidRDefault="006D7E12" w:rsidP="00C83672">
            <w:pPr>
              <w:spacing w:after="80"/>
              <w:jc w:val="left"/>
              <w:rPr>
                <w:bCs/>
                <w:iCs/>
                <w:szCs w:val="24"/>
                <w:lang w:val="en-GB"/>
              </w:rPr>
            </w:pPr>
            <w:r w:rsidRPr="001622B7">
              <w:rPr>
                <w:bCs/>
                <w:iCs/>
                <w:szCs w:val="24"/>
                <w:lang w:val="en-GB"/>
              </w:rPr>
              <w:t>β-haemolytic streptococci</w:t>
            </w:r>
          </w:p>
          <w:p w:rsidR="006D7E12" w:rsidRDefault="006D7E12" w:rsidP="00C83672">
            <w:pPr>
              <w:spacing w:after="80"/>
              <w:jc w:val="left"/>
              <w:rPr>
                <w:i/>
                <w:iCs/>
                <w:szCs w:val="24"/>
                <w:lang w:val="en-GB" w:bidi="th-TH"/>
              </w:rPr>
            </w:pPr>
            <w:r w:rsidRPr="001622B7">
              <w:rPr>
                <w:i/>
                <w:iCs/>
                <w:szCs w:val="24"/>
                <w:lang w:val="en-GB" w:bidi="th-TH"/>
              </w:rPr>
              <w:t>S. aureus</w:t>
            </w:r>
          </w:p>
          <w:p w:rsidR="006F29EA" w:rsidRPr="001622B7" w:rsidRDefault="006F29EA" w:rsidP="00C83672">
            <w:pPr>
              <w:spacing w:after="80"/>
              <w:jc w:val="left"/>
              <w:rPr>
                <w:bCs/>
                <w:i/>
                <w:iCs/>
                <w:szCs w:val="24"/>
                <w:lang w:val="en-GB"/>
              </w:rPr>
            </w:pPr>
            <w:r>
              <w:rPr>
                <w:bCs/>
                <w:i/>
                <w:iCs/>
                <w:szCs w:val="24"/>
                <w:lang w:val="en-GB"/>
              </w:rPr>
              <w:t>S. pneumoniae</w:t>
            </w:r>
          </w:p>
        </w:tc>
      </w:tr>
      <w:tr w:rsidR="006D7E12" w:rsidRPr="00093BA1" w:rsidTr="000C176E">
        <w:tc>
          <w:tcPr>
            <w:tcW w:w="1843" w:type="dxa"/>
          </w:tcPr>
          <w:p w:rsidR="006D7E12" w:rsidRPr="001622B7" w:rsidRDefault="006D7E12" w:rsidP="00C83672">
            <w:pPr>
              <w:spacing w:after="80"/>
              <w:jc w:val="left"/>
              <w:rPr>
                <w:bCs/>
                <w:iCs/>
                <w:szCs w:val="24"/>
                <w:lang w:val="en-GB"/>
              </w:rPr>
            </w:pPr>
            <w:r w:rsidRPr="001622B7">
              <w:rPr>
                <w:bCs/>
                <w:iCs/>
                <w:szCs w:val="24"/>
                <w:lang w:val="en-GB"/>
              </w:rPr>
              <w:t>MacConkey agar</w:t>
            </w:r>
          </w:p>
        </w:tc>
        <w:tc>
          <w:tcPr>
            <w:tcW w:w="1276" w:type="dxa"/>
          </w:tcPr>
          <w:p w:rsidR="006D7E12" w:rsidRPr="001622B7" w:rsidRDefault="006D7E12" w:rsidP="00C83672">
            <w:pPr>
              <w:spacing w:after="80"/>
              <w:jc w:val="left"/>
              <w:rPr>
                <w:bCs/>
                <w:iCs/>
                <w:szCs w:val="24"/>
                <w:lang w:val="en-GB"/>
              </w:rPr>
            </w:pPr>
            <w:r w:rsidRPr="001622B7">
              <w:rPr>
                <w:bCs/>
                <w:iCs/>
                <w:szCs w:val="24"/>
                <w:lang w:val="en-GB"/>
              </w:rPr>
              <w:t>35 – 37</w:t>
            </w:r>
          </w:p>
        </w:tc>
        <w:tc>
          <w:tcPr>
            <w:tcW w:w="1417" w:type="dxa"/>
          </w:tcPr>
          <w:p w:rsidR="006D7E12" w:rsidRPr="001622B7" w:rsidRDefault="006D7E12" w:rsidP="00C83672">
            <w:pPr>
              <w:spacing w:after="80"/>
              <w:jc w:val="left"/>
              <w:rPr>
                <w:bCs/>
                <w:iCs/>
                <w:szCs w:val="24"/>
                <w:vertAlign w:val="subscript"/>
                <w:lang w:val="en-GB"/>
              </w:rPr>
            </w:pPr>
            <w:r w:rsidRPr="001622B7">
              <w:rPr>
                <w:bCs/>
                <w:iCs/>
                <w:szCs w:val="24"/>
                <w:lang w:val="en-GB"/>
              </w:rPr>
              <w:t>Air</w:t>
            </w:r>
          </w:p>
        </w:tc>
        <w:tc>
          <w:tcPr>
            <w:tcW w:w="1134" w:type="dxa"/>
          </w:tcPr>
          <w:p w:rsidR="006D7E12" w:rsidRPr="001622B7" w:rsidRDefault="00B7329C" w:rsidP="00C83672">
            <w:pPr>
              <w:spacing w:after="80"/>
              <w:jc w:val="left"/>
              <w:rPr>
                <w:bCs/>
                <w:iCs/>
                <w:szCs w:val="24"/>
                <w:lang w:val="en-GB"/>
              </w:rPr>
            </w:pPr>
            <w:r>
              <w:rPr>
                <w:bCs/>
                <w:iCs/>
                <w:szCs w:val="24"/>
                <w:lang w:val="en-GB"/>
              </w:rPr>
              <w:t xml:space="preserve">40 - </w:t>
            </w:r>
            <w:r w:rsidR="006D7E12" w:rsidRPr="001622B7">
              <w:rPr>
                <w:bCs/>
                <w:iCs/>
                <w:szCs w:val="24"/>
                <w:lang w:val="en-GB"/>
              </w:rPr>
              <w:t>48h</w:t>
            </w:r>
          </w:p>
        </w:tc>
        <w:tc>
          <w:tcPr>
            <w:tcW w:w="1559" w:type="dxa"/>
          </w:tcPr>
          <w:p w:rsidR="006D7E12" w:rsidRPr="001622B7" w:rsidRDefault="006D7E12" w:rsidP="00C83672">
            <w:pPr>
              <w:spacing w:after="80"/>
              <w:jc w:val="left"/>
              <w:rPr>
                <w:bCs/>
                <w:iCs/>
                <w:szCs w:val="24"/>
                <w:lang w:val="en-GB"/>
              </w:rPr>
            </w:pPr>
            <w:r w:rsidRPr="001622B7">
              <w:rPr>
                <w:bCs/>
                <w:iCs/>
                <w:szCs w:val="24"/>
                <w:lang w:val="en-GB"/>
              </w:rPr>
              <w:t>Daily</w:t>
            </w:r>
          </w:p>
        </w:tc>
        <w:tc>
          <w:tcPr>
            <w:tcW w:w="1951" w:type="dxa"/>
          </w:tcPr>
          <w:p w:rsidR="006D7E12" w:rsidRPr="001622B7" w:rsidRDefault="006D7E12" w:rsidP="00C83672">
            <w:pPr>
              <w:spacing w:after="80"/>
              <w:jc w:val="left"/>
              <w:rPr>
                <w:szCs w:val="24"/>
                <w:lang w:val="en-GB" w:bidi="th-TH"/>
              </w:rPr>
            </w:pPr>
            <w:r w:rsidRPr="001622B7">
              <w:rPr>
                <w:szCs w:val="24"/>
                <w:lang w:val="en-GB" w:bidi="th-TH"/>
              </w:rPr>
              <w:t>Enterobacteriaceae</w:t>
            </w:r>
          </w:p>
          <w:p w:rsidR="006D7E12" w:rsidRPr="001622B7" w:rsidRDefault="006D7E12" w:rsidP="00C83672">
            <w:pPr>
              <w:spacing w:after="80"/>
              <w:jc w:val="left"/>
              <w:rPr>
                <w:bCs/>
                <w:iCs/>
                <w:szCs w:val="24"/>
                <w:lang w:val="en-GB"/>
              </w:rPr>
            </w:pPr>
            <w:r w:rsidRPr="001622B7">
              <w:rPr>
                <w:szCs w:val="24"/>
                <w:lang w:val="en-GB" w:bidi="th-TH"/>
              </w:rPr>
              <w:t>Pseudomonads</w:t>
            </w:r>
          </w:p>
        </w:tc>
      </w:tr>
      <w:tr w:rsidR="006D7E12" w:rsidRPr="00093BA1" w:rsidTr="000C176E">
        <w:tc>
          <w:tcPr>
            <w:tcW w:w="1843" w:type="dxa"/>
          </w:tcPr>
          <w:p w:rsidR="006D7E12" w:rsidRPr="001622B7" w:rsidRDefault="006D7E12" w:rsidP="00A47A0F">
            <w:pPr>
              <w:spacing w:after="80"/>
              <w:jc w:val="left"/>
              <w:rPr>
                <w:bCs/>
                <w:iCs/>
                <w:szCs w:val="24"/>
                <w:lang w:val="en-GB"/>
              </w:rPr>
            </w:pPr>
            <w:r>
              <w:rPr>
                <w:bCs/>
                <w:iCs/>
                <w:szCs w:val="24"/>
                <w:lang w:val="en-GB"/>
              </w:rPr>
              <w:t>Sabouraud agar</w:t>
            </w:r>
          </w:p>
        </w:tc>
        <w:tc>
          <w:tcPr>
            <w:tcW w:w="1276" w:type="dxa"/>
          </w:tcPr>
          <w:p w:rsidR="006D7E12" w:rsidRPr="001622B7" w:rsidRDefault="006D7E12" w:rsidP="00C83672">
            <w:pPr>
              <w:spacing w:after="80"/>
              <w:jc w:val="left"/>
              <w:rPr>
                <w:bCs/>
                <w:iCs/>
                <w:szCs w:val="24"/>
                <w:lang w:val="en-GB"/>
              </w:rPr>
            </w:pPr>
            <w:r w:rsidRPr="001622B7">
              <w:rPr>
                <w:bCs/>
                <w:iCs/>
                <w:szCs w:val="24"/>
                <w:lang w:val="en-GB"/>
              </w:rPr>
              <w:t>35 – 37</w:t>
            </w:r>
          </w:p>
        </w:tc>
        <w:tc>
          <w:tcPr>
            <w:tcW w:w="1417" w:type="dxa"/>
          </w:tcPr>
          <w:p w:rsidR="006D7E12" w:rsidRPr="001622B7" w:rsidRDefault="006D7E12" w:rsidP="00C83672">
            <w:pPr>
              <w:spacing w:after="80"/>
              <w:jc w:val="left"/>
              <w:rPr>
                <w:bCs/>
                <w:iCs/>
                <w:szCs w:val="24"/>
                <w:vertAlign w:val="subscript"/>
                <w:lang w:val="en-GB"/>
              </w:rPr>
            </w:pPr>
            <w:r w:rsidRPr="001622B7">
              <w:rPr>
                <w:bCs/>
                <w:iCs/>
                <w:szCs w:val="24"/>
                <w:lang w:val="en-GB"/>
              </w:rPr>
              <w:t>Air</w:t>
            </w:r>
          </w:p>
        </w:tc>
        <w:tc>
          <w:tcPr>
            <w:tcW w:w="1134" w:type="dxa"/>
          </w:tcPr>
          <w:p w:rsidR="006D7E12" w:rsidRPr="001622B7" w:rsidRDefault="00B7329C" w:rsidP="00C83672">
            <w:pPr>
              <w:spacing w:after="80"/>
              <w:jc w:val="left"/>
              <w:rPr>
                <w:bCs/>
                <w:iCs/>
                <w:szCs w:val="24"/>
                <w:lang w:val="en-GB"/>
              </w:rPr>
            </w:pPr>
            <w:r>
              <w:rPr>
                <w:bCs/>
                <w:iCs/>
                <w:szCs w:val="24"/>
                <w:lang w:val="en-GB"/>
              </w:rPr>
              <w:t xml:space="preserve">40 - </w:t>
            </w:r>
            <w:r w:rsidR="006D7E12" w:rsidRPr="001622B7">
              <w:rPr>
                <w:bCs/>
                <w:iCs/>
                <w:szCs w:val="24"/>
                <w:lang w:val="en-GB"/>
              </w:rPr>
              <w:t>48h</w:t>
            </w:r>
          </w:p>
        </w:tc>
        <w:tc>
          <w:tcPr>
            <w:tcW w:w="1559" w:type="dxa"/>
          </w:tcPr>
          <w:p w:rsidR="006D7E12" w:rsidRPr="001622B7" w:rsidRDefault="006D7E12" w:rsidP="00C83672">
            <w:pPr>
              <w:spacing w:after="80"/>
              <w:jc w:val="left"/>
              <w:rPr>
                <w:bCs/>
                <w:iCs/>
                <w:szCs w:val="24"/>
                <w:lang w:val="en-GB"/>
              </w:rPr>
            </w:pPr>
            <w:r w:rsidRPr="001622B7">
              <w:rPr>
                <w:bCs/>
                <w:iCs/>
                <w:szCs w:val="24"/>
                <w:lang w:val="en-GB"/>
              </w:rPr>
              <w:t>Daily</w:t>
            </w:r>
          </w:p>
        </w:tc>
        <w:tc>
          <w:tcPr>
            <w:tcW w:w="1951" w:type="dxa"/>
          </w:tcPr>
          <w:p w:rsidR="006D7E12" w:rsidRPr="001622B7" w:rsidRDefault="006F29EA" w:rsidP="00A47A0F">
            <w:pPr>
              <w:spacing w:after="80"/>
              <w:jc w:val="left"/>
              <w:rPr>
                <w:bCs/>
                <w:iCs/>
                <w:szCs w:val="24"/>
                <w:lang w:val="en-GB"/>
              </w:rPr>
            </w:pPr>
            <w:r>
              <w:rPr>
                <w:bCs/>
                <w:iCs/>
                <w:szCs w:val="24"/>
                <w:lang w:val="en-GB"/>
              </w:rPr>
              <w:t>Fungi</w:t>
            </w:r>
          </w:p>
        </w:tc>
      </w:tr>
    </w:tbl>
    <w:p w:rsidR="00651DFA" w:rsidRPr="00093BA1" w:rsidRDefault="00651DFA" w:rsidP="002C3D24">
      <w:pPr>
        <w:rPr>
          <w:lang w:val="en-GB"/>
        </w:rPr>
        <w:sectPr w:rsidR="00651DFA" w:rsidRPr="00093BA1" w:rsidSect="000C176E">
          <w:pgSz w:w="12240" w:h="15840"/>
          <w:pgMar w:top="1440" w:right="1797" w:bottom="1440" w:left="1797" w:header="709" w:footer="709" w:gutter="0"/>
          <w:cols w:space="708"/>
          <w:docGrid w:linePitch="326"/>
        </w:sectPr>
      </w:pPr>
    </w:p>
    <w:p w:rsidR="00BF4A7B" w:rsidRPr="00093BA1" w:rsidRDefault="00BF4A7B" w:rsidP="002C3D24">
      <w:pPr>
        <w:pStyle w:val="Heading1"/>
        <w:rPr>
          <w:lang w:val="en-GB"/>
        </w:rPr>
      </w:pPr>
      <w:r w:rsidRPr="00093BA1">
        <w:rPr>
          <w:lang w:val="en-GB"/>
        </w:rPr>
        <w:t>Interpretation</w:t>
      </w:r>
    </w:p>
    <w:p w:rsidR="00BB6627" w:rsidRPr="00093BA1" w:rsidRDefault="00BB6627" w:rsidP="002C3D24">
      <w:pPr>
        <w:rPr>
          <w:lang w:val="en-GB"/>
        </w:rPr>
      </w:pPr>
      <w:r w:rsidRPr="00093BA1">
        <w:rPr>
          <w:lang w:val="en-GB"/>
        </w:rPr>
        <w:t xml:space="preserve">Record </w:t>
      </w:r>
      <w:r w:rsidR="009B3C1E">
        <w:rPr>
          <w:lang w:val="en-GB"/>
        </w:rPr>
        <w:t xml:space="preserve">the </w:t>
      </w:r>
      <w:r w:rsidRPr="00093BA1">
        <w:rPr>
          <w:lang w:val="en-GB"/>
        </w:rPr>
        <w:t>semi-quantita</w:t>
      </w:r>
      <w:r w:rsidR="009B3C1E">
        <w:rPr>
          <w:lang w:val="en-GB"/>
        </w:rPr>
        <w:t>tive growth of each colony type (i.e. +/- to ++++).</w:t>
      </w:r>
    </w:p>
    <w:p w:rsidR="00BF4A7B" w:rsidRPr="00093BA1" w:rsidRDefault="00BF4A7B" w:rsidP="002C3D24">
      <w:pPr>
        <w:pStyle w:val="Heading2"/>
        <w:rPr>
          <w:lang w:val="en-GB"/>
        </w:rPr>
      </w:pPr>
      <w:r w:rsidRPr="00093BA1">
        <w:rPr>
          <w:lang w:val="en-GB"/>
        </w:rPr>
        <w:t>Minimum level of identification in the laboratory</w:t>
      </w:r>
    </w:p>
    <w:p w:rsidR="00BB6627" w:rsidRDefault="00BB6627" w:rsidP="002C3D24">
      <w:pPr>
        <w:rPr>
          <w:lang w:val="en-GB"/>
        </w:rPr>
      </w:pPr>
      <w:r w:rsidRPr="00093BA1">
        <w:rPr>
          <w:lang w:val="en-GB"/>
        </w:rPr>
        <w:t xml:space="preserve">In general significant isolates should be </w:t>
      </w:r>
      <w:r w:rsidR="002C3D24" w:rsidRPr="00093BA1">
        <w:rPr>
          <w:lang w:val="en-GB"/>
        </w:rPr>
        <w:t>identified as fully as possible</w:t>
      </w:r>
      <w:r w:rsidR="002050B6">
        <w:rPr>
          <w:lang w:val="en-GB"/>
        </w:rPr>
        <w:t xml:space="preserve"> (i.e. to species level)</w:t>
      </w:r>
      <w:r w:rsidR="002C3D24" w:rsidRPr="00093BA1">
        <w:rPr>
          <w:lang w:val="en-GB"/>
        </w:rPr>
        <w:t>: potentially significant organisms are summari</w:t>
      </w:r>
      <w:r w:rsidR="000F2935" w:rsidRPr="00093BA1">
        <w:rPr>
          <w:lang w:val="en-GB"/>
        </w:rPr>
        <w:t>s</w:t>
      </w:r>
      <w:r w:rsidR="002C3D24" w:rsidRPr="00093BA1">
        <w:rPr>
          <w:lang w:val="en-GB"/>
        </w:rPr>
        <w:t xml:space="preserve">ed </w:t>
      </w:r>
      <w:r w:rsidR="00E4097D" w:rsidRPr="00093BA1">
        <w:rPr>
          <w:lang w:val="en-GB"/>
        </w:rPr>
        <w:t>in SOP MID-004.</w:t>
      </w:r>
    </w:p>
    <w:p w:rsidR="002050B6" w:rsidRDefault="002050B6" w:rsidP="002C3D24">
      <w:pPr>
        <w:rPr>
          <w:lang w:val="en-GB"/>
        </w:rPr>
      </w:pPr>
      <w:r>
        <w:rPr>
          <w:lang w:val="en-GB"/>
        </w:rPr>
        <w:t>Yeasts should be reported to the “yeasts” level</w:t>
      </w:r>
      <w:r w:rsidR="00E13FF7">
        <w:rPr>
          <w:lang w:val="en-GB"/>
        </w:rPr>
        <w:t>.</w:t>
      </w:r>
    </w:p>
    <w:p w:rsidR="00E13FF7" w:rsidRDefault="00E13FF7" w:rsidP="002C3D24">
      <w:pPr>
        <w:rPr>
          <w:lang w:val="en-GB"/>
        </w:rPr>
      </w:pPr>
      <w:r>
        <w:rPr>
          <w:lang w:val="en-GB"/>
        </w:rPr>
        <w:t xml:space="preserve">Coliforms should be </w:t>
      </w:r>
      <w:r w:rsidR="008269D6">
        <w:rPr>
          <w:lang w:val="en-GB"/>
        </w:rPr>
        <w:t xml:space="preserve">reported </w:t>
      </w:r>
      <w:r>
        <w:rPr>
          <w:lang w:val="en-GB"/>
        </w:rPr>
        <w:t>to the “coliforms” level: antimicrobial susceptibility testing is not normally required.</w:t>
      </w:r>
    </w:p>
    <w:p w:rsidR="000C56ED" w:rsidRPr="000C56ED" w:rsidRDefault="000C56ED" w:rsidP="002C3D24">
      <w:pPr>
        <w:rPr>
          <w:lang w:val="en-GB"/>
        </w:rPr>
      </w:pPr>
      <w:proofErr w:type="gramStart"/>
      <w:r>
        <w:rPr>
          <w:lang w:val="en-GB"/>
        </w:rPr>
        <w:t>Non-</w:t>
      </w:r>
      <w:r>
        <w:rPr>
          <w:i/>
          <w:lang w:val="en-GB"/>
        </w:rPr>
        <w:t>P.</w:t>
      </w:r>
      <w:proofErr w:type="gramEnd"/>
      <w:r w:rsidR="008269D6">
        <w:rPr>
          <w:i/>
          <w:lang w:val="en-GB"/>
        </w:rPr>
        <w:t xml:space="preserve"> </w:t>
      </w:r>
      <w:proofErr w:type="gramStart"/>
      <w:r>
        <w:rPr>
          <w:i/>
          <w:lang w:val="en-GB"/>
        </w:rPr>
        <w:t>aeruginosa</w:t>
      </w:r>
      <w:proofErr w:type="gramEnd"/>
      <w:r>
        <w:rPr>
          <w:i/>
          <w:lang w:val="en-GB"/>
        </w:rPr>
        <w:t xml:space="preserve"> </w:t>
      </w:r>
      <w:r>
        <w:rPr>
          <w:lang w:val="en-GB"/>
        </w:rPr>
        <w:t>pseudomonads should be reported to the “pseudomonads” level: antimicrobial susceptibility testing is not normally required.</w:t>
      </w:r>
    </w:p>
    <w:p w:rsidR="00BF4A7B" w:rsidRPr="00093BA1" w:rsidRDefault="00BF4A7B" w:rsidP="002C3D24">
      <w:pPr>
        <w:pStyle w:val="Heading2"/>
        <w:rPr>
          <w:lang w:val="en-GB"/>
        </w:rPr>
      </w:pPr>
      <w:r w:rsidRPr="00093BA1">
        <w:rPr>
          <w:lang w:val="en-GB"/>
        </w:rPr>
        <w:t>Antimicrobial susceptibility testing</w:t>
      </w:r>
    </w:p>
    <w:p w:rsidR="00BF4A7B" w:rsidRPr="00093BA1" w:rsidRDefault="00BF4A7B" w:rsidP="002C3D24">
      <w:pPr>
        <w:rPr>
          <w:lang w:val="en-GB"/>
        </w:rPr>
      </w:pPr>
      <w:r w:rsidRPr="00093BA1">
        <w:rPr>
          <w:lang w:val="en-GB"/>
        </w:rPr>
        <w:t>All significant isolates should have antimicrobial susceptibilities</w:t>
      </w:r>
      <w:r w:rsidR="00E22FFC" w:rsidRPr="00093BA1">
        <w:rPr>
          <w:lang w:val="en-GB"/>
        </w:rPr>
        <w:t xml:space="preserve"> determined according to SOP MIC-001</w:t>
      </w:r>
      <w:r w:rsidRPr="00093BA1">
        <w:rPr>
          <w:lang w:val="en-GB"/>
        </w:rPr>
        <w:t>.</w:t>
      </w:r>
    </w:p>
    <w:p w:rsidR="00BF4A7B" w:rsidRPr="00093BA1" w:rsidRDefault="00BF4A7B" w:rsidP="002C3D24">
      <w:pPr>
        <w:pStyle w:val="Heading2"/>
        <w:rPr>
          <w:lang w:val="en-GB"/>
        </w:rPr>
      </w:pPr>
      <w:r w:rsidRPr="00093BA1">
        <w:rPr>
          <w:lang w:val="en-GB"/>
        </w:rPr>
        <w:t>Reporting</w:t>
      </w:r>
    </w:p>
    <w:p w:rsidR="0082089B" w:rsidRDefault="0082089B" w:rsidP="0082089B">
      <w:r w:rsidRPr="00A2583C">
        <w:t>Gram stain results: WBC and organisms detected.</w:t>
      </w:r>
    </w:p>
    <w:p w:rsidR="0082089B" w:rsidRPr="00A2583C" w:rsidRDefault="0082089B" w:rsidP="0062454E">
      <w:r w:rsidRPr="00A2583C">
        <w:t>Culture</w:t>
      </w:r>
      <w:r>
        <w:t>:</w:t>
      </w:r>
      <w:r w:rsidR="0062454E">
        <w:t xml:space="preserve"> </w:t>
      </w:r>
      <w:r w:rsidR="000C176E">
        <w:t>Presence</w:t>
      </w:r>
      <w:r w:rsidRPr="00A2583C">
        <w:t xml:space="preserve"> of significant isolates (e.g. </w:t>
      </w:r>
      <w:r w:rsidRPr="0062454E">
        <w:rPr>
          <w:i/>
        </w:rPr>
        <w:t>S. aureus</w:t>
      </w:r>
      <w:r w:rsidRPr="00A2583C">
        <w:t>); no significant growth / mixed growth of doubtful significance may be used; absence of growth.</w:t>
      </w:r>
    </w:p>
    <w:p w:rsidR="00BF4A7B" w:rsidRPr="00093BA1" w:rsidRDefault="00BF4A7B" w:rsidP="002C3D24">
      <w:pPr>
        <w:pStyle w:val="Heading1"/>
        <w:rPr>
          <w:lang w:val="en-GB"/>
        </w:rPr>
      </w:pPr>
      <w:r w:rsidRPr="00093BA1">
        <w:rPr>
          <w:lang w:val="en-GB"/>
        </w:rPr>
        <w:t>Quality assurance</w:t>
      </w:r>
    </w:p>
    <w:p w:rsidR="00E22FFC" w:rsidRPr="00093BA1" w:rsidRDefault="00E22FFC" w:rsidP="002C3D24">
      <w:pPr>
        <w:rPr>
          <w:lang w:val="en-GB"/>
        </w:rPr>
      </w:pPr>
      <w:r w:rsidRPr="00093BA1">
        <w:rPr>
          <w:lang w:val="en-GB"/>
        </w:rPr>
        <w:t>Media and identification tests should be quality controlled according to the relevant SOP.</w:t>
      </w:r>
    </w:p>
    <w:p w:rsidR="00BF4A7B" w:rsidRPr="00093BA1" w:rsidRDefault="00BF4A7B" w:rsidP="002C3D24">
      <w:pPr>
        <w:pStyle w:val="Heading1"/>
        <w:rPr>
          <w:lang w:val="en-GB"/>
        </w:rPr>
      </w:pPr>
      <w:r w:rsidRPr="00093BA1">
        <w:rPr>
          <w:lang w:val="en-GB"/>
        </w:rPr>
        <w:t>Limitations</w:t>
      </w:r>
    </w:p>
    <w:p w:rsidR="005544A3" w:rsidRPr="00093BA1" w:rsidRDefault="005544A3" w:rsidP="002C3D24">
      <w:pPr>
        <w:rPr>
          <w:lang w:val="en-GB"/>
        </w:rPr>
      </w:pPr>
      <w:r w:rsidRPr="00093BA1">
        <w:rPr>
          <w:lang w:val="en-GB"/>
        </w:rPr>
        <w:t>Prior antimicrobial use may result in negative cultures</w:t>
      </w:r>
      <w:r w:rsidR="00E40BB2">
        <w:rPr>
          <w:lang w:val="en-GB"/>
        </w:rPr>
        <w:t>.</w:t>
      </w:r>
    </w:p>
    <w:p w:rsidR="00BF4A7B" w:rsidRPr="00093BA1" w:rsidRDefault="00BF4A7B" w:rsidP="002C3D24">
      <w:pPr>
        <w:pStyle w:val="Heading1"/>
        <w:rPr>
          <w:lang w:val="en-GB"/>
        </w:rPr>
      </w:pPr>
      <w:r w:rsidRPr="00093BA1">
        <w:rPr>
          <w:lang w:val="en-GB"/>
        </w:rPr>
        <w:t>References</w:t>
      </w:r>
    </w:p>
    <w:p w:rsidR="005504A5" w:rsidRPr="0001221C" w:rsidRDefault="005504A5" w:rsidP="005504A5">
      <w:pPr>
        <w:pStyle w:val="ListParagraph"/>
        <w:numPr>
          <w:ilvl w:val="0"/>
          <w:numId w:val="13"/>
        </w:numPr>
        <w:rPr>
          <w:lang w:val="en-GB"/>
        </w:rPr>
      </w:pPr>
      <w:r>
        <w:rPr>
          <w:lang w:val="en-GB"/>
        </w:rPr>
        <w:t xml:space="preserve">Health Protection </w:t>
      </w:r>
      <w:r w:rsidR="00A76CD0">
        <w:rPr>
          <w:lang w:val="en-GB"/>
        </w:rPr>
        <w:t>A</w:t>
      </w:r>
      <w:r>
        <w:rPr>
          <w:lang w:val="en-GB"/>
        </w:rPr>
        <w:t>gency, UK SOP B24: Investigation of Ear swabs and associated specimens (Issue 8.4; March 2012).</w:t>
      </w:r>
    </w:p>
    <w:p w:rsidR="00BF4A7B" w:rsidRPr="000C176E" w:rsidRDefault="001318FC" w:rsidP="000C176E">
      <w:pPr>
        <w:pStyle w:val="Heading1"/>
        <w:rPr>
          <w:lang w:val="en-GB"/>
        </w:rPr>
      </w:pPr>
      <w:r>
        <w:rPr>
          <w:lang w:val="en-GB"/>
        </w:rPr>
        <w:br w:type="page"/>
      </w:r>
      <w:r w:rsidR="00BF4A7B" w:rsidRPr="000C176E">
        <w:rPr>
          <w:lang w:val="en-GB"/>
        </w:rPr>
        <w:t>Synopsis / Bench aid</w:t>
      </w:r>
      <w:r w:rsidR="008957CB" w:rsidRPr="000C176E">
        <w:rPr>
          <w:lang w:val="en-GB"/>
        </w:rPr>
        <w:t>s</w:t>
      </w:r>
    </w:p>
    <w:p w:rsidR="001318FC" w:rsidRDefault="00C33BD5" w:rsidP="00656407">
      <w:pPr>
        <w:jc w:val="center"/>
        <w:rPr>
          <w:lang w:val="en-GB"/>
        </w:rPr>
      </w:pPr>
      <w:r>
        <w:rPr>
          <w:noProof/>
          <w:lang w:val="en-GB" w:eastAsia="en-GB"/>
        </w:rPr>
        <w:drawing>
          <wp:inline distT="0" distB="0" distL="0" distR="0">
            <wp:extent cx="4048125" cy="46005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8125" cy="4600575"/>
                    </a:xfrm>
                    <a:prstGeom prst="rect">
                      <a:avLst/>
                    </a:prstGeom>
                    <a:noFill/>
                    <a:ln>
                      <a:noFill/>
                    </a:ln>
                  </pic:spPr>
                </pic:pic>
              </a:graphicData>
            </a:graphic>
          </wp:inline>
        </w:drawing>
      </w:r>
    </w:p>
    <w:p w:rsidR="002137CC" w:rsidRDefault="002137CC" w:rsidP="002C3D24">
      <w:pPr>
        <w:rPr>
          <w:lang w:val="en-GB"/>
        </w:rPr>
      </w:pPr>
      <w:r>
        <w:rPr>
          <w:lang w:val="en-GB"/>
        </w:rPr>
        <w:br w:type="page"/>
      </w:r>
    </w:p>
    <w:p w:rsidR="001318FC" w:rsidRPr="00093BA1" w:rsidRDefault="001318FC" w:rsidP="002137CC">
      <w:pPr>
        <w:jc w:val="center"/>
        <w:rPr>
          <w:lang w:val="en-GB"/>
        </w:rPr>
        <w:sectPr w:rsidR="001318FC" w:rsidRPr="00093BA1" w:rsidSect="000C176E">
          <w:pgSz w:w="12240" w:h="15840"/>
          <w:pgMar w:top="1440" w:right="1797" w:bottom="1440" w:left="1797" w:header="709" w:footer="709" w:gutter="0"/>
          <w:cols w:space="708"/>
          <w:docGrid w:linePitch="326"/>
        </w:sectPr>
      </w:pPr>
    </w:p>
    <w:p w:rsidR="00B424F6" w:rsidRPr="00093BA1" w:rsidRDefault="00BF4A7B" w:rsidP="002C3D24">
      <w:pPr>
        <w:pStyle w:val="Heading1"/>
        <w:rPr>
          <w:lang w:val="en-GB"/>
        </w:rPr>
      </w:pPr>
      <w:r w:rsidRPr="00093BA1">
        <w:rPr>
          <w:lang w:val="en-GB"/>
        </w:rPr>
        <w:t>Risk assessment</w:t>
      </w:r>
    </w:p>
    <w:tbl>
      <w:tblPr>
        <w:tblW w:w="8790" w:type="dxa"/>
        <w:jc w:val="center"/>
        <w:tblInd w:w="2548" w:type="dxa"/>
        <w:tblLayout w:type="fixed"/>
        <w:tblCellMar>
          <w:left w:w="120" w:type="dxa"/>
          <w:right w:w="120" w:type="dxa"/>
        </w:tblCellMar>
        <w:tblLook w:val="0000" w:firstRow="0" w:lastRow="0" w:firstColumn="0" w:lastColumn="0" w:noHBand="0" w:noVBand="0"/>
      </w:tblPr>
      <w:tblGrid>
        <w:gridCol w:w="4111"/>
        <w:gridCol w:w="4679"/>
      </w:tblGrid>
      <w:tr w:rsidR="009E0BD9" w:rsidRPr="00093BA1" w:rsidTr="007A5E14">
        <w:trPr>
          <w:trHeight w:val="632"/>
          <w:jc w:val="center"/>
        </w:trPr>
        <w:tc>
          <w:tcPr>
            <w:tcW w:w="8790" w:type="dxa"/>
            <w:gridSpan w:val="2"/>
            <w:tcBorders>
              <w:top w:val="single" w:sz="12" w:space="0" w:color="auto"/>
              <w:left w:val="single" w:sz="12" w:space="0" w:color="auto"/>
              <w:bottom w:val="single" w:sz="12" w:space="0" w:color="auto"/>
              <w:right w:val="single" w:sz="12" w:space="0" w:color="auto"/>
            </w:tcBorders>
            <w:vAlign w:val="center"/>
          </w:tcPr>
          <w:p w:rsidR="009E0BD9" w:rsidRPr="00093BA1" w:rsidRDefault="009E0BD9" w:rsidP="00472CD1">
            <w:pPr>
              <w:widowControl w:val="0"/>
              <w:autoSpaceDE w:val="0"/>
              <w:autoSpaceDN w:val="0"/>
              <w:adjustRightInd w:val="0"/>
              <w:spacing w:after="0" w:line="240" w:lineRule="auto"/>
              <w:jc w:val="left"/>
              <w:rPr>
                <w:rFonts w:ascii="Century Gothic" w:eastAsia="Times New Roman" w:hAnsi="Century Gothic"/>
                <w:b/>
                <w:color w:val="0D0D0D" w:themeColor="text1" w:themeTint="F2"/>
                <w:szCs w:val="24"/>
                <w:lang w:val="en-GB"/>
              </w:rPr>
            </w:pPr>
            <w:r w:rsidRPr="00093BA1">
              <w:rPr>
                <w:rFonts w:eastAsia="Times New Roman"/>
                <w:color w:val="0D0D0D" w:themeColor="text1" w:themeTint="F2"/>
                <w:szCs w:val="24"/>
                <w:lang w:val="en-GB"/>
              </w:rPr>
              <w:br w:type="page"/>
            </w:r>
            <w:r w:rsidRPr="00093BA1">
              <w:rPr>
                <w:rFonts w:ascii="Century Gothic" w:eastAsia="Times New Roman" w:hAnsi="Century Gothic"/>
                <w:b/>
                <w:color w:val="0D0D0D" w:themeColor="text1" w:themeTint="F2"/>
                <w:szCs w:val="24"/>
                <w:lang w:val="en-GB"/>
              </w:rPr>
              <w:t>COSHH risk assessment - University of Oxford COSHH Assessment Form</w:t>
            </w:r>
          </w:p>
        </w:tc>
      </w:tr>
      <w:tr w:rsidR="009E0BD9" w:rsidRPr="00093BA1" w:rsidTr="007A5E14">
        <w:trPr>
          <w:trHeight w:val="524"/>
          <w:jc w:val="center"/>
        </w:trPr>
        <w:tc>
          <w:tcPr>
            <w:tcW w:w="4111" w:type="dxa"/>
            <w:tcBorders>
              <w:top w:val="single" w:sz="12"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Description of procedure</w:t>
            </w:r>
          </w:p>
          <w:p w:rsidR="009E0BD9" w:rsidRPr="00093BA1" w:rsidRDefault="00BE70AE" w:rsidP="000C176E">
            <w:pPr>
              <w:jc w:val="left"/>
              <w:rPr>
                <w:szCs w:val="24"/>
                <w:lang w:val="en-GB" w:bidi="x-none"/>
              </w:rPr>
            </w:pPr>
            <w:r w:rsidRPr="00093BA1">
              <w:rPr>
                <w:lang w:val="en-GB"/>
              </w:rPr>
              <w:t xml:space="preserve">Culture of </w:t>
            </w:r>
            <w:r w:rsidR="000C176E">
              <w:rPr>
                <w:lang w:val="en-GB"/>
              </w:rPr>
              <w:t>ear swabs</w:t>
            </w:r>
          </w:p>
        </w:tc>
        <w:tc>
          <w:tcPr>
            <w:tcW w:w="4679" w:type="dxa"/>
            <w:tcBorders>
              <w:top w:val="single" w:sz="12"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Substances used</w:t>
            </w:r>
          </w:p>
          <w:p w:rsidR="009E0BD9" w:rsidRPr="00093BA1" w:rsidRDefault="005544A3" w:rsidP="00472CD1">
            <w:pPr>
              <w:jc w:val="left"/>
              <w:rPr>
                <w:rFonts w:cs="Helvetica"/>
                <w:color w:val="0D0D0D" w:themeColor="text1" w:themeTint="F2"/>
                <w:lang w:val="en-GB"/>
              </w:rPr>
            </w:pPr>
            <w:r w:rsidRPr="00093BA1">
              <w:rPr>
                <w:rFonts w:cs="Helvetica"/>
                <w:color w:val="0D0D0D" w:themeColor="text1" w:themeTint="F2"/>
                <w:lang w:val="en-GB"/>
              </w:rPr>
              <w:t xml:space="preserve">Variable, depending on organism cultured (may include Gram stain reagents; 3% hydrogen peroxide (catalase test); </w:t>
            </w:r>
            <w:r w:rsidRPr="00093BA1">
              <w:rPr>
                <w:rFonts w:eastAsia="Calibri"/>
                <w:lang w:val="en-GB" w:bidi="th-TH"/>
              </w:rPr>
              <w:t>N,N,N',N'-tetramethyl-1,4-phenylenediamine</w:t>
            </w:r>
            <w:r w:rsidRPr="00093BA1">
              <w:rPr>
                <w:lang w:val="en-GB" w:bidi="th-TH"/>
              </w:rPr>
              <w:t xml:space="preserve"> (oxidase test); s</w:t>
            </w:r>
            <w:r w:rsidRPr="00093BA1">
              <w:rPr>
                <w:rFonts w:eastAsia="Calibri"/>
                <w:lang w:val="en-GB"/>
              </w:rPr>
              <w:t>odium deoxycholate</w:t>
            </w:r>
            <w:r w:rsidRPr="00093BA1">
              <w:rPr>
                <w:lang w:val="en-GB"/>
              </w:rPr>
              <w:t xml:space="preserve"> (bile solubility test); bioMerieux API reagents)</w:t>
            </w:r>
          </w:p>
        </w:tc>
      </w:tr>
      <w:tr w:rsidR="009E0BD9" w:rsidRPr="00093BA1" w:rsidTr="007A5E14">
        <w:trPr>
          <w:trHeight w:val="350"/>
          <w:jc w:val="center"/>
        </w:trPr>
        <w:tc>
          <w:tcPr>
            <w:tcW w:w="4111" w:type="dxa"/>
            <w:tcBorders>
              <w:top w:val="single" w:sz="6"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Quantities of chemicals used</w:t>
            </w:r>
          </w:p>
          <w:p w:rsidR="009E0BD9" w:rsidRPr="00093BA1" w:rsidRDefault="00BE70AE" w:rsidP="00472CD1">
            <w:pPr>
              <w:spacing w:after="0" w:line="240" w:lineRule="auto"/>
              <w:jc w:val="left"/>
              <w:rPr>
                <w:rFonts w:eastAsia="Times New Roman"/>
                <w:color w:val="0D0D0D" w:themeColor="text1" w:themeTint="F2"/>
                <w:szCs w:val="24"/>
                <w:lang w:val="en-GB"/>
              </w:rPr>
            </w:pPr>
            <w:r w:rsidRPr="00093BA1">
              <w:rPr>
                <w:rFonts w:eastAsia="Times New Roman"/>
                <w:color w:val="0D0D0D" w:themeColor="text1" w:themeTint="F2"/>
                <w:szCs w:val="24"/>
                <w:lang w:val="en-GB"/>
              </w:rPr>
              <w:t>Small</w:t>
            </w:r>
          </w:p>
        </w:tc>
        <w:tc>
          <w:tcPr>
            <w:tcW w:w="4679" w:type="dxa"/>
            <w:tcBorders>
              <w:top w:val="single" w:sz="6"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Frequency of SOP use</w:t>
            </w:r>
          </w:p>
          <w:p w:rsidR="009E0BD9" w:rsidRPr="00093BA1" w:rsidRDefault="009E0BD9" w:rsidP="00472CD1">
            <w:pPr>
              <w:spacing w:after="0" w:line="240" w:lineRule="auto"/>
              <w:jc w:val="left"/>
              <w:rPr>
                <w:szCs w:val="24"/>
                <w:lang w:val="en-GB" w:bidi="x-none"/>
              </w:rPr>
            </w:pPr>
            <w:r w:rsidRPr="00093BA1">
              <w:rPr>
                <w:szCs w:val="24"/>
                <w:lang w:val="en-GB" w:bidi="x-none"/>
              </w:rPr>
              <w:t>Daily</w:t>
            </w:r>
          </w:p>
        </w:tc>
      </w:tr>
      <w:tr w:rsidR="009E0BD9" w:rsidRPr="00093BA1" w:rsidTr="007A5E14">
        <w:trPr>
          <w:jc w:val="center"/>
        </w:trPr>
        <w:tc>
          <w:tcPr>
            <w:tcW w:w="4111" w:type="dxa"/>
            <w:tcBorders>
              <w:top w:val="single" w:sz="6" w:space="0" w:color="auto"/>
              <w:lef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Hazards identified</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1. </w:t>
            </w:r>
            <w:r w:rsidR="009E0BD9" w:rsidRPr="00093BA1">
              <w:rPr>
                <w:rFonts w:eastAsia="Times New Roman"/>
                <w:szCs w:val="24"/>
                <w:lang w:val="en-GB" w:bidi="x-none"/>
              </w:rPr>
              <w:t>Autoclaved liquid</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2. </w:t>
            </w:r>
            <w:r w:rsidR="009E0BD9" w:rsidRPr="00093BA1">
              <w:rPr>
                <w:rFonts w:eastAsia="Times New Roman"/>
                <w:szCs w:val="24"/>
                <w:lang w:val="en-GB" w:bidi="x-none"/>
              </w:rPr>
              <w:t xml:space="preserve">Potentially infectious material in sample  </w:t>
            </w:r>
          </w:p>
          <w:p w:rsidR="009E0BD9" w:rsidRPr="00093BA1" w:rsidRDefault="004C4C4B" w:rsidP="00472CD1">
            <w:pPr>
              <w:spacing w:after="0" w:line="240" w:lineRule="auto"/>
              <w:jc w:val="left"/>
              <w:rPr>
                <w:rFonts w:eastAsia="Times New Roman"/>
                <w:szCs w:val="24"/>
                <w:lang w:val="en-GB" w:bidi="x-none"/>
              </w:rPr>
            </w:pPr>
            <w:r w:rsidRPr="00093BA1">
              <w:rPr>
                <w:rFonts w:eastAsia="Times New Roman"/>
                <w:szCs w:val="24"/>
                <w:lang w:val="en-GB" w:bidi="x-none"/>
              </w:rPr>
              <w:t xml:space="preserve">3. </w:t>
            </w:r>
            <w:r w:rsidR="009E0BD9" w:rsidRPr="00093BA1">
              <w:rPr>
                <w:rFonts w:eastAsia="Times New Roman"/>
                <w:szCs w:val="24"/>
                <w:lang w:val="en-GB" w:bidi="x-none"/>
              </w:rPr>
              <w:t>Potentially pathogenic bacteria</w:t>
            </w:r>
          </w:p>
          <w:p w:rsidR="00BE70AE" w:rsidRPr="00093BA1" w:rsidRDefault="00BE70AE" w:rsidP="00472CD1">
            <w:pPr>
              <w:spacing w:after="0" w:line="240" w:lineRule="auto"/>
              <w:jc w:val="left"/>
              <w:rPr>
                <w:rFonts w:eastAsia="Times New Roman"/>
                <w:color w:val="0D0D0D" w:themeColor="text1" w:themeTint="F2"/>
                <w:szCs w:val="24"/>
                <w:lang w:val="en-GB"/>
              </w:rPr>
            </w:pPr>
            <w:r w:rsidRPr="00093BA1">
              <w:rPr>
                <w:rFonts w:eastAsia="Times New Roman"/>
                <w:szCs w:val="24"/>
                <w:lang w:val="en-GB" w:bidi="x-none"/>
              </w:rPr>
              <w:t>4. Chemical exposure form bacterial identification tests</w:t>
            </w:r>
          </w:p>
        </w:tc>
        <w:tc>
          <w:tcPr>
            <w:tcW w:w="4679" w:type="dxa"/>
            <w:tcBorders>
              <w:top w:val="single" w:sz="6" w:space="0" w:color="auto"/>
              <w:left w:val="single" w:sz="6" w:space="0" w:color="auto"/>
              <w:right w:val="single" w:sz="12"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Could a less hazardous substance be used instead?</w:t>
            </w:r>
            <w:r w:rsidRPr="00093BA1">
              <w:rPr>
                <w:rFonts w:ascii="Century Gothic" w:hAnsi="Century Gothic"/>
                <w:szCs w:val="24"/>
                <w:lang w:val="en-GB" w:bidi="x-none"/>
              </w:rPr>
              <w:t xml:space="preserve">    </w:t>
            </w:r>
          </w:p>
          <w:p w:rsidR="009E0BD9" w:rsidRPr="00093BA1" w:rsidRDefault="009E0BD9" w:rsidP="00472CD1">
            <w:pPr>
              <w:spacing w:after="0" w:line="240" w:lineRule="auto"/>
              <w:jc w:val="left"/>
              <w:rPr>
                <w:szCs w:val="24"/>
                <w:lang w:val="en-GB" w:bidi="x-none"/>
              </w:rPr>
            </w:pPr>
            <w:r w:rsidRPr="00093BA1">
              <w:rPr>
                <w:szCs w:val="24"/>
                <w:lang w:val="en-GB" w:bidi="x-none"/>
              </w:rPr>
              <w:t>No</w:t>
            </w:r>
          </w:p>
        </w:tc>
      </w:tr>
      <w:tr w:rsidR="009E0BD9" w:rsidRPr="00093BA1" w:rsidTr="007A5E14">
        <w:trPr>
          <w:jc w:val="center"/>
        </w:trPr>
        <w:tc>
          <w:tcPr>
            <w:tcW w:w="8790" w:type="dxa"/>
            <w:gridSpan w:val="2"/>
            <w:tcBorders>
              <w:top w:val="single" w:sz="6" w:space="0" w:color="auto"/>
              <w:left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 xml:space="preserve">What measures have you taken to control risk? </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1. </w:t>
            </w:r>
            <w:r w:rsidR="009E0BD9" w:rsidRPr="00093BA1">
              <w:rPr>
                <w:rFonts w:eastAsia="Times New Roman" w:cs="Helvetica"/>
                <w:color w:val="0D0D0D" w:themeColor="text1" w:themeTint="F2"/>
                <w:szCs w:val="16"/>
                <w:lang w:val="en-GB"/>
              </w:rPr>
              <w:t>Training in good laboratory practices (GLP)</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2. </w:t>
            </w:r>
            <w:r w:rsidR="009E0BD9" w:rsidRPr="00093BA1">
              <w:rPr>
                <w:rFonts w:eastAsia="Times New Roman" w:cs="Helvetica"/>
                <w:color w:val="0D0D0D" w:themeColor="text1" w:themeTint="F2"/>
                <w:szCs w:val="16"/>
                <w:lang w:val="en-GB"/>
              </w:rPr>
              <w:t>Appropriate PPE (lab coat, gloves, eye protection)</w:t>
            </w:r>
          </w:p>
          <w:p w:rsidR="009E0BD9" w:rsidRPr="00093BA1" w:rsidRDefault="004C4C4B" w:rsidP="00472CD1">
            <w:pPr>
              <w:spacing w:after="0" w:line="240" w:lineRule="auto"/>
              <w:jc w:val="left"/>
              <w:rPr>
                <w:rFonts w:eastAsia="Times New Roman"/>
                <w:color w:val="0D0D0D" w:themeColor="text1" w:themeTint="F2"/>
                <w:szCs w:val="24"/>
                <w:lang w:val="en-GB"/>
              </w:rPr>
            </w:pPr>
            <w:r w:rsidRPr="00093BA1">
              <w:rPr>
                <w:rFonts w:eastAsia="Times New Roman" w:cs="Helvetica"/>
                <w:color w:val="0D0D0D" w:themeColor="text1" w:themeTint="F2"/>
                <w:szCs w:val="16"/>
                <w:lang w:val="en-GB"/>
              </w:rPr>
              <w:t xml:space="preserve">3. </w:t>
            </w:r>
            <w:r w:rsidR="009E0BD9" w:rsidRPr="00093BA1">
              <w:rPr>
                <w:rFonts w:eastAsia="Times New Roman" w:cs="Helvetica"/>
                <w:color w:val="0D0D0D" w:themeColor="text1" w:themeTint="F2"/>
                <w:szCs w:val="16"/>
                <w:lang w:val="en-GB"/>
              </w:rPr>
              <w:t>Use of biosafet</w:t>
            </w:r>
            <w:r w:rsidRPr="00093BA1">
              <w:rPr>
                <w:rFonts w:eastAsia="Times New Roman" w:cs="Helvetica"/>
                <w:color w:val="0D0D0D" w:themeColor="text1" w:themeTint="F2"/>
                <w:szCs w:val="16"/>
                <w:lang w:val="en-GB"/>
              </w:rPr>
              <w:t>y cabinet for reading of plates /</w:t>
            </w:r>
            <w:r w:rsidR="009E0BD9" w:rsidRPr="00093BA1">
              <w:rPr>
                <w:rFonts w:eastAsia="Times New Roman" w:cs="Helvetica"/>
                <w:color w:val="0D0D0D" w:themeColor="text1" w:themeTint="F2"/>
                <w:szCs w:val="16"/>
                <w:lang w:val="en-GB"/>
              </w:rPr>
              <w:t xml:space="preserve"> follow-up of BSL-3 organisms (e.g. </w:t>
            </w:r>
            <w:r w:rsidR="009E0BD9" w:rsidRPr="00093BA1">
              <w:rPr>
                <w:rFonts w:eastAsia="Times New Roman" w:cs="Helvetica"/>
                <w:i/>
                <w:iCs/>
                <w:color w:val="0D0D0D" w:themeColor="text1" w:themeTint="F2"/>
                <w:szCs w:val="16"/>
                <w:lang w:val="en-GB"/>
              </w:rPr>
              <w:t>B. pseudomallei</w:t>
            </w:r>
            <w:r w:rsidR="009E0BD9" w:rsidRPr="00093BA1">
              <w:rPr>
                <w:rFonts w:eastAsia="Times New Roman" w:cs="Helvetica"/>
                <w:color w:val="0D0D0D" w:themeColor="text1" w:themeTint="F2"/>
                <w:szCs w:val="16"/>
                <w:lang w:val="en-GB"/>
              </w:rPr>
              <w:t>)</w:t>
            </w:r>
          </w:p>
        </w:tc>
      </w:tr>
      <w:tr w:rsidR="009E0BD9" w:rsidRPr="00093BA1" w:rsidTr="007A5E14">
        <w:trPr>
          <w:jc w:val="center"/>
        </w:trPr>
        <w:tc>
          <w:tcPr>
            <w:tcW w:w="8790" w:type="dxa"/>
            <w:gridSpan w:val="2"/>
            <w:tcBorders>
              <w:top w:val="single" w:sz="6" w:space="0" w:color="auto"/>
              <w:left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Checks on control measures</w:t>
            </w:r>
          </w:p>
          <w:p w:rsidR="009E0BD9" w:rsidRPr="00093BA1" w:rsidRDefault="009E0BD9" w:rsidP="00472CD1">
            <w:pPr>
              <w:spacing w:after="0" w:line="240" w:lineRule="auto"/>
              <w:jc w:val="left"/>
              <w:rPr>
                <w:b/>
                <w:bCs/>
                <w:szCs w:val="24"/>
                <w:lang w:val="en-GB" w:bidi="x-none"/>
              </w:rPr>
            </w:pPr>
            <w:r w:rsidRPr="00093BA1">
              <w:rPr>
                <w:szCs w:val="24"/>
                <w:lang w:val="en-GB" w:bidi="x-none"/>
              </w:rPr>
              <w:t>Observation and supervision by senior staff</w:t>
            </w:r>
          </w:p>
        </w:tc>
      </w:tr>
      <w:tr w:rsidR="009E0BD9" w:rsidRPr="00093BA1" w:rsidTr="007A5E14">
        <w:trPr>
          <w:jc w:val="center"/>
        </w:trPr>
        <w:tc>
          <w:tcPr>
            <w:tcW w:w="4111" w:type="dxa"/>
            <w:tcBorders>
              <w:top w:val="single" w:sz="6" w:space="0" w:color="auto"/>
              <w:left w:val="single" w:sz="12" w:space="0" w:color="auto"/>
              <w:bottom w:val="single" w:sz="8"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Is health surveillance required?</w:t>
            </w:r>
          </w:p>
          <w:p w:rsidR="009E0BD9" w:rsidRPr="00093BA1" w:rsidRDefault="009E0BD9" w:rsidP="00472CD1">
            <w:pPr>
              <w:spacing w:after="0" w:line="240" w:lineRule="auto"/>
              <w:jc w:val="left"/>
              <w:rPr>
                <w:szCs w:val="24"/>
                <w:lang w:val="en-GB" w:bidi="x-none"/>
              </w:rPr>
            </w:pPr>
            <w:r w:rsidRPr="00093BA1">
              <w:rPr>
                <w:szCs w:val="24"/>
                <w:lang w:val="en-GB" w:bidi="x-none"/>
              </w:rPr>
              <w:t>No</w:t>
            </w:r>
          </w:p>
        </w:tc>
        <w:tc>
          <w:tcPr>
            <w:tcW w:w="4679" w:type="dxa"/>
            <w:tcBorders>
              <w:top w:val="single" w:sz="6" w:space="0" w:color="auto"/>
              <w:left w:val="single" w:sz="6" w:space="0" w:color="auto"/>
              <w:bottom w:val="single" w:sz="8" w:space="0" w:color="auto"/>
              <w:right w:val="single" w:sz="12" w:space="0" w:color="auto"/>
            </w:tcBorders>
          </w:tcPr>
          <w:p w:rsidR="009E0BD9" w:rsidRPr="00093BA1" w:rsidRDefault="009E0BD9" w:rsidP="00472CD1">
            <w:pPr>
              <w:spacing w:after="0" w:line="240" w:lineRule="auto"/>
              <w:jc w:val="left"/>
              <w:rPr>
                <w:rFonts w:ascii="Century Gothic" w:hAnsi="Century Gothic"/>
                <w:b/>
                <w:bCs/>
                <w:szCs w:val="24"/>
                <w:lang w:val="en-GB" w:bidi="x-none"/>
              </w:rPr>
            </w:pPr>
            <w:r w:rsidRPr="00093BA1">
              <w:rPr>
                <w:rFonts w:ascii="Century Gothic" w:hAnsi="Century Gothic"/>
                <w:b/>
                <w:bCs/>
                <w:szCs w:val="24"/>
                <w:lang w:val="en-GB" w:bidi="x-none"/>
              </w:rPr>
              <w:t>Training requirements:</w:t>
            </w:r>
          </w:p>
          <w:p w:rsidR="009E0BD9" w:rsidRPr="00093BA1" w:rsidRDefault="009E0BD9" w:rsidP="00472CD1">
            <w:pPr>
              <w:spacing w:after="0" w:line="240" w:lineRule="auto"/>
              <w:jc w:val="left"/>
              <w:rPr>
                <w:szCs w:val="24"/>
                <w:lang w:val="en-GB" w:bidi="x-none"/>
              </w:rPr>
            </w:pPr>
            <w:r w:rsidRPr="00093BA1">
              <w:rPr>
                <w:szCs w:val="24"/>
                <w:lang w:val="en-GB" w:bidi="x-none"/>
              </w:rPr>
              <w:t>GLP</w:t>
            </w:r>
          </w:p>
        </w:tc>
      </w:tr>
      <w:tr w:rsidR="009E0BD9" w:rsidRPr="00093BA1" w:rsidTr="007A5E14">
        <w:trPr>
          <w:jc w:val="center"/>
        </w:trPr>
        <w:tc>
          <w:tcPr>
            <w:tcW w:w="4111" w:type="dxa"/>
            <w:tcBorders>
              <w:top w:val="single" w:sz="8" w:space="0" w:color="auto"/>
              <w:left w:val="single" w:sz="12" w:space="0" w:color="auto"/>
              <w:bottom w:val="single" w:sz="12" w:space="0" w:color="auto"/>
              <w:right w:val="single" w:sz="8"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Emergency procedures</w:t>
            </w:r>
            <w:r w:rsidRPr="00093BA1">
              <w:rPr>
                <w:rFonts w:ascii="Century Gothic" w:hAnsi="Century Gothic"/>
                <w:szCs w:val="24"/>
                <w:lang w:val="en-GB" w:bidi="x-none"/>
              </w:rPr>
              <w:t>:</w:t>
            </w:r>
          </w:p>
          <w:p w:rsidR="009E0BD9" w:rsidRPr="00093BA1" w:rsidRDefault="004C4C4B" w:rsidP="00472CD1">
            <w:pPr>
              <w:spacing w:after="0" w:line="240" w:lineRule="auto"/>
              <w:jc w:val="left"/>
              <w:rPr>
                <w:szCs w:val="24"/>
                <w:lang w:val="en-GB" w:bidi="x-none"/>
              </w:rPr>
            </w:pPr>
            <w:r w:rsidRPr="00093BA1">
              <w:rPr>
                <w:szCs w:val="24"/>
                <w:lang w:val="en-GB" w:bidi="x-none"/>
              </w:rPr>
              <w:t xml:space="preserve">1. </w:t>
            </w:r>
            <w:r w:rsidR="009E0BD9" w:rsidRPr="00093BA1">
              <w:rPr>
                <w:szCs w:val="24"/>
                <w:lang w:val="en-GB" w:bidi="x-none"/>
              </w:rPr>
              <w:t>Report all incidents to Safety Adviser</w:t>
            </w:r>
          </w:p>
          <w:p w:rsidR="009E0BD9" w:rsidRPr="00093BA1" w:rsidRDefault="004C4C4B" w:rsidP="00472CD1">
            <w:pPr>
              <w:spacing w:after="0" w:line="240" w:lineRule="auto"/>
              <w:jc w:val="left"/>
              <w:rPr>
                <w:szCs w:val="24"/>
                <w:lang w:val="en-GB" w:bidi="x-none"/>
              </w:rPr>
            </w:pPr>
            <w:r w:rsidRPr="00093BA1">
              <w:rPr>
                <w:szCs w:val="24"/>
                <w:lang w:val="en-GB" w:bidi="x-none"/>
              </w:rPr>
              <w:t>2. Use eye</w:t>
            </w:r>
            <w:r w:rsidR="009E0BD9" w:rsidRPr="00093BA1">
              <w:rPr>
                <w:szCs w:val="24"/>
                <w:lang w:val="en-GB" w:bidi="x-none"/>
              </w:rPr>
              <w:t>wash for splashes</w:t>
            </w:r>
          </w:p>
          <w:p w:rsidR="009E0BD9" w:rsidRPr="00093BA1" w:rsidRDefault="004C4C4B" w:rsidP="00472CD1">
            <w:pPr>
              <w:spacing w:after="0" w:line="240" w:lineRule="auto"/>
              <w:jc w:val="left"/>
              <w:rPr>
                <w:rFonts w:eastAsia="Times New Roman"/>
                <w:color w:val="0D0D0D" w:themeColor="text1" w:themeTint="F2"/>
                <w:szCs w:val="24"/>
                <w:lang w:val="en-GB"/>
              </w:rPr>
            </w:pPr>
            <w:r w:rsidRPr="00093BA1">
              <w:rPr>
                <w:szCs w:val="24"/>
                <w:lang w:val="en-GB"/>
              </w:rPr>
              <w:t xml:space="preserve">3. </w:t>
            </w:r>
            <w:r w:rsidR="009E0BD9" w:rsidRPr="00093BA1">
              <w:rPr>
                <w:szCs w:val="24"/>
                <w:lang w:val="en-GB"/>
              </w:rPr>
              <w:t xml:space="preserve">Clean up </w:t>
            </w:r>
            <w:r w:rsidRPr="00093BA1">
              <w:rPr>
                <w:szCs w:val="24"/>
                <w:lang w:val="en-GB"/>
              </w:rPr>
              <w:t xml:space="preserve">spills </w:t>
            </w:r>
            <w:r w:rsidR="009E0BD9" w:rsidRPr="00093BA1">
              <w:rPr>
                <w:szCs w:val="24"/>
                <w:lang w:val="en-GB"/>
              </w:rPr>
              <w:t>using 1% Virkon</w:t>
            </w:r>
            <w:r w:rsidRPr="00093BA1">
              <w:rPr>
                <w:szCs w:val="24"/>
                <w:lang w:val="en-GB"/>
              </w:rPr>
              <w:t xml:space="preserve"> or chemical spill kit</w:t>
            </w:r>
          </w:p>
        </w:tc>
        <w:tc>
          <w:tcPr>
            <w:tcW w:w="4679" w:type="dxa"/>
            <w:tcBorders>
              <w:top w:val="single" w:sz="8" w:space="0" w:color="auto"/>
              <w:left w:val="single" w:sz="8" w:space="0" w:color="auto"/>
              <w:bottom w:val="single" w:sz="12" w:space="0" w:color="auto"/>
              <w:right w:val="single" w:sz="12" w:space="0" w:color="auto"/>
            </w:tcBorders>
          </w:tcPr>
          <w:p w:rsidR="009E0BD9" w:rsidRPr="00093BA1" w:rsidRDefault="009E0BD9" w:rsidP="00472CD1">
            <w:pPr>
              <w:spacing w:after="0" w:line="240" w:lineRule="auto"/>
              <w:jc w:val="left"/>
              <w:rPr>
                <w:rFonts w:ascii="Century Gothic" w:hAnsi="Century Gothic"/>
                <w:szCs w:val="24"/>
                <w:lang w:val="en-GB" w:bidi="x-none"/>
              </w:rPr>
            </w:pPr>
            <w:r w:rsidRPr="00093BA1">
              <w:rPr>
                <w:rFonts w:ascii="Century Gothic" w:hAnsi="Century Gothic"/>
                <w:b/>
                <w:bCs/>
                <w:szCs w:val="24"/>
                <w:lang w:val="en-GB" w:bidi="x-none"/>
              </w:rPr>
              <w:t>Waste disposal procedures</w:t>
            </w:r>
            <w:r w:rsidRPr="00093BA1">
              <w:rPr>
                <w:rFonts w:ascii="Century Gothic" w:hAnsi="Century Gothic"/>
                <w:szCs w:val="24"/>
                <w:lang w:val="en-GB" w:bidi="x-none"/>
              </w:rPr>
              <w:t>:</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1. </w:t>
            </w:r>
            <w:r w:rsidR="009E0BD9" w:rsidRPr="00093BA1">
              <w:rPr>
                <w:rFonts w:eastAsia="Times New Roman" w:cs="Helvetica"/>
                <w:color w:val="0D0D0D" w:themeColor="text1" w:themeTint="F2"/>
                <w:szCs w:val="16"/>
                <w:lang w:val="en-GB"/>
              </w:rPr>
              <w:t>Sharps discarded into appropriate ri</w:t>
            </w:r>
            <w:r w:rsidRPr="00093BA1">
              <w:rPr>
                <w:rFonts w:eastAsia="Times New Roman" w:cs="Helvetica"/>
                <w:color w:val="0D0D0D" w:themeColor="text1" w:themeTint="F2"/>
                <w:szCs w:val="16"/>
                <w:lang w:val="en-GB"/>
              </w:rPr>
              <w:t>gid containers for incineration</w:t>
            </w:r>
          </w:p>
          <w:p w:rsidR="009E0BD9" w:rsidRPr="00093BA1" w:rsidRDefault="004C4C4B" w:rsidP="00472CD1">
            <w:pPr>
              <w:tabs>
                <w:tab w:val="left" w:pos="426"/>
                <w:tab w:val="left" w:pos="709"/>
                <w:tab w:val="left" w:pos="993"/>
              </w:tabs>
              <w:spacing w:after="0" w:line="240" w:lineRule="auto"/>
              <w:jc w:val="left"/>
              <w:rPr>
                <w:rFonts w:eastAsia="Times New Roman" w:cs="Helvetica"/>
                <w:color w:val="0D0D0D" w:themeColor="text1" w:themeTint="F2"/>
                <w:szCs w:val="16"/>
                <w:lang w:val="en-GB"/>
              </w:rPr>
            </w:pPr>
            <w:r w:rsidRPr="00093BA1">
              <w:rPr>
                <w:rFonts w:eastAsia="Times New Roman" w:cs="Helvetica"/>
                <w:color w:val="0D0D0D" w:themeColor="text1" w:themeTint="F2"/>
                <w:szCs w:val="16"/>
                <w:lang w:val="en-GB"/>
              </w:rPr>
              <w:t xml:space="preserve">2. </w:t>
            </w:r>
            <w:r w:rsidR="009E0BD9" w:rsidRPr="00093BA1">
              <w:rPr>
                <w:rFonts w:eastAsia="Times New Roman" w:cs="Helvetica"/>
                <w:color w:val="0D0D0D" w:themeColor="text1" w:themeTint="F2"/>
                <w:szCs w:val="16"/>
                <w:lang w:val="en-GB"/>
              </w:rPr>
              <w:t>Infectious waste discarded into autoclave bags or 1% Virkon solution prior to autoclav</w:t>
            </w:r>
            <w:r w:rsidRPr="00093BA1">
              <w:rPr>
                <w:rFonts w:eastAsia="Times New Roman" w:cs="Helvetica"/>
                <w:color w:val="0D0D0D" w:themeColor="text1" w:themeTint="F2"/>
                <w:szCs w:val="16"/>
                <w:lang w:val="en-GB"/>
              </w:rPr>
              <w:t>ing and subsequent incineration</w:t>
            </w:r>
          </w:p>
          <w:p w:rsidR="009E0BD9" w:rsidRPr="00093BA1" w:rsidRDefault="004C4C4B" w:rsidP="00472CD1">
            <w:pPr>
              <w:spacing w:after="0" w:line="240" w:lineRule="auto"/>
              <w:jc w:val="left"/>
              <w:rPr>
                <w:sz w:val="40"/>
                <w:szCs w:val="24"/>
                <w:lang w:val="en-GB" w:bidi="x-none"/>
              </w:rPr>
            </w:pPr>
            <w:r w:rsidRPr="00093BA1">
              <w:rPr>
                <w:rFonts w:eastAsia="Times New Roman" w:cs="Helvetica"/>
                <w:color w:val="0D0D0D" w:themeColor="text1" w:themeTint="F2"/>
                <w:szCs w:val="16"/>
                <w:lang w:val="en-GB"/>
              </w:rPr>
              <w:t xml:space="preserve">3. </w:t>
            </w:r>
            <w:r w:rsidR="009E0BD9" w:rsidRPr="00093BA1">
              <w:rPr>
                <w:rFonts w:eastAsia="Times New Roman" w:cs="Helvetica"/>
                <w:color w:val="0D0D0D" w:themeColor="text1" w:themeTint="F2"/>
                <w:szCs w:val="16"/>
                <w:lang w:val="en-GB"/>
              </w:rPr>
              <w:t>Chemical waste disposed of according to manufacturer’s instructions</w:t>
            </w:r>
          </w:p>
        </w:tc>
      </w:tr>
    </w:tbl>
    <w:p w:rsidR="00BF4A7B" w:rsidRPr="00093BA1" w:rsidRDefault="00BF4A7B" w:rsidP="002C3D24">
      <w:pPr>
        <w:rPr>
          <w:lang w:val="en-GB"/>
        </w:rPr>
      </w:pPr>
    </w:p>
    <w:sectPr w:rsidR="00BF4A7B" w:rsidRPr="00093BA1" w:rsidSect="000C176E">
      <w:pgSz w:w="12240" w:h="15840"/>
      <w:pgMar w:top="1440" w:right="1800" w:bottom="1440" w:left="18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EC8" w:rsidRDefault="00426EC8" w:rsidP="00D219C6">
      <w:r>
        <w:separator/>
      </w:r>
    </w:p>
  </w:endnote>
  <w:endnote w:type="continuationSeparator" w:id="0">
    <w:p w:rsidR="00426EC8" w:rsidRDefault="00426EC8" w:rsidP="00D2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470" w:rsidRPr="00983F5B" w:rsidRDefault="00DD0470" w:rsidP="00052E0B">
    <w:pPr>
      <w:pStyle w:val="Footer"/>
      <w:jc w:val="center"/>
      <w:rPr>
        <w:rFonts w:ascii="Century Gothic" w:hAnsi="Century Gothic"/>
        <w:lang w:val="en-GB"/>
      </w:rPr>
    </w:pPr>
    <w:r w:rsidRPr="00983F5B">
      <w:rPr>
        <w:rFonts w:ascii="Century Gothic" w:hAnsi="Century Gothic"/>
        <w:lang w:val="en-GB"/>
      </w:rPr>
      <w:t xml:space="preserve">Page </w:t>
    </w:r>
    <w:r w:rsidRPr="00983F5B">
      <w:rPr>
        <w:rFonts w:ascii="Century Gothic" w:hAnsi="Century Gothic"/>
        <w:lang w:val="en-GB"/>
      </w:rPr>
      <w:fldChar w:fldCharType="begin"/>
    </w:r>
    <w:r w:rsidRPr="00983F5B">
      <w:rPr>
        <w:rFonts w:ascii="Century Gothic" w:hAnsi="Century Gothic"/>
        <w:lang w:val="en-GB"/>
      </w:rPr>
      <w:instrText xml:space="preserve"> PAGE  \* Arabic  \* MERGEFORMAT </w:instrText>
    </w:r>
    <w:r w:rsidRPr="00983F5B">
      <w:rPr>
        <w:rFonts w:ascii="Century Gothic" w:hAnsi="Century Gothic"/>
        <w:lang w:val="en-GB"/>
      </w:rPr>
      <w:fldChar w:fldCharType="separate"/>
    </w:r>
    <w:r w:rsidR="0036502C">
      <w:rPr>
        <w:rFonts w:ascii="Century Gothic" w:hAnsi="Century Gothic"/>
        <w:noProof/>
        <w:lang w:val="en-GB"/>
      </w:rPr>
      <w:t>1</w:t>
    </w:r>
    <w:r w:rsidRPr="00983F5B">
      <w:rPr>
        <w:rFonts w:ascii="Century Gothic" w:hAnsi="Century Gothic"/>
        <w:lang w:val="en-GB"/>
      </w:rPr>
      <w:fldChar w:fldCharType="end"/>
    </w:r>
    <w:r w:rsidRPr="00983F5B">
      <w:rPr>
        <w:rFonts w:ascii="Century Gothic" w:hAnsi="Century Gothic"/>
        <w:lang w:val="en-GB"/>
      </w:rPr>
      <w:t xml:space="preserve"> of </w:t>
    </w:r>
    <w:r w:rsidRPr="00983F5B">
      <w:rPr>
        <w:rFonts w:ascii="Century Gothic" w:hAnsi="Century Gothic"/>
        <w:lang w:val="en-GB"/>
      </w:rPr>
      <w:fldChar w:fldCharType="begin"/>
    </w:r>
    <w:r w:rsidRPr="00983F5B">
      <w:rPr>
        <w:rFonts w:ascii="Century Gothic" w:hAnsi="Century Gothic"/>
        <w:lang w:val="en-GB"/>
      </w:rPr>
      <w:instrText xml:space="preserve"> NUMPAGES  \* Arabic  \* MERGEFORMAT </w:instrText>
    </w:r>
    <w:r w:rsidRPr="00983F5B">
      <w:rPr>
        <w:rFonts w:ascii="Century Gothic" w:hAnsi="Century Gothic"/>
        <w:lang w:val="en-GB"/>
      </w:rPr>
      <w:fldChar w:fldCharType="separate"/>
    </w:r>
    <w:r w:rsidR="0036502C">
      <w:rPr>
        <w:rFonts w:ascii="Century Gothic" w:hAnsi="Century Gothic"/>
        <w:noProof/>
        <w:lang w:val="en-GB"/>
      </w:rPr>
      <w:t>6</w:t>
    </w:r>
    <w:r w:rsidRPr="00983F5B">
      <w:rPr>
        <w:rFonts w:ascii="Century Gothic" w:hAnsi="Century Gothic"/>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EC8" w:rsidRDefault="00426EC8" w:rsidP="00D219C6">
      <w:r>
        <w:separator/>
      </w:r>
    </w:p>
  </w:footnote>
  <w:footnote w:type="continuationSeparator" w:id="0">
    <w:p w:rsidR="00426EC8" w:rsidRDefault="00426EC8" w:rsidP="00D21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2C" w:rsidRPr="0036502C" w:rsidRDefault="0036502C">
    <w:pPr>
      <w:rPr>
        <w:sz w:val="20"/>
      </w:rPr>
    </w:pPr>
    <w:r w:rsidRPr="0036502C">
      <w:rPr>
        <w:sz w:val="20"/>
      </w:rPr>
      <w:drawing>
        <wp:anchor distT="0" distB="0" distL="114300" distR="114300" simplePos="0" relativeHeight="251659264" behindDoc="0" locked="0" layoutInCell="1" allowOverlap="1" wp14:anchorId="635B05F0" wp14:editId="35FFB79B">
          <wp:simplePos x="0" y="0"/>
          <wp:positionH relativeFrom="margin">
            <wp:posOffset>-520065</wp:posOffset>
          </wp:positionH>
          <wp:positionV relativeFrom="margin">
            <wp:posOffset>-2400935</wp:posOffset>
          </wp:positionV>
          <wp:extent cx="1520190" cy="734695"/>
          <wp:effectExtent l="0" t="0" r="3810" b="8255"/>
          <wp:wrapSquare wrapText="bothSides"/>
          <wp:docPr id="8" name="Picture 8"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r w:rsidRPr="0036502C">
      <w:rPr>
        <w:sz w:val="20"/>
      </w:rPr>
      <mc:AlternateContent>
        <mc:Choice Requires="wps">
          <w:drawing>
            <wp:anchor distT="0" distB="0" distL="114300" distR="114300" simplePos="0" relativeHeight="251660288" behindDoc="0" locked="0" layoutInCell="1" allowOverlap="1" wp14:anchorId="2E3392F8" wp14:editId="0B9A0FE2">
              <wp:simplePos x="0" y="0"/>
              <wp:positionH relativeFrom="margin">
                <wp:posOffset>2940050</wp:posOffset>
              </wp:positionH>
              <wp:positionV relativeFrom="paragraph">
                <wp:posOffset>-84455</wp:posOffset>
              </wp:positionV>
              <wp:extent cx="3067050" cy="525145"/>
              <wp:effectExtent l="0" t="0" r="0" b="825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02C" w:rsidRDefault="0036502C" w:rsidP="0036502C">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231.5pt;margin-top:-6.65pt;width:241.5pt;height:4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" stroked="f">
              <v:textbox>
                <w:txbxContent>
                  <w:p w:rsidR="0036502C" w:rsidRDefault="0036502C" w:rsidP="0036502C">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p>
  <w:p w:rsidR="0036502C" w:rsidRPr="0036502C" w:rsidRDefault="0036502C">
    <w:pPr>
      <w:rPr>
        <w:sz w:val="20"/>
      </w:rPr>
    </w:pPr>
  </w:p>
  <w:p w:rsidR="0036502C" w:rsidRPr="0036502C" w:rsidRDefault="0036502C">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FB0AA3" w:rsidRPr="00983F5B" w:rsidTr="00FB0AA3">
      <w:trPr>
        <w:trHeight w:val="293"/>
        <w:jc w:val="center"/>
      </w:trPr>
      <w:tc>
        <w:tcPr>
          <w:tcW w:w="10207" w:type="dxa"/>
          <w:gridSpan w:val="4"/>
          <w:shd w:val="clear" w:color="auto" w:fill="000000" w:themeFill="text1"/>
        </w:tcPr>
        <w:p w:rsidR="00FB0AA3" w:rsidRPr="00983F5B" w:rsidRDefault="00FB0AA3" w:rsidP="005551B7">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983F5B">
            <w:rPr>
              <w:rFonts w:ascii="Century Gothic" w:hAnsi="Century Gothic" w:cs="Arial"/>
              <w:smallCaps/>
              <w:color w:val="FFFFFF" w:themeColor="background1"/>
              <w:sz w:val="24"/>
              <w:szCs w:val="24"/>
              <w:lang w:val="en-GB"/>
            </w:rPr>
            <w:t>Microbiology Standard Operating Procedure</w:t>
          </w:r>
        </w:p>
      </w:tc>
    </w:tr>
    <w:tr w:rsidR="00FB0AA3" w:rsidRPr="00983F5B" w:rsidTr="0073622C">
      <w:trPr>
        <w:trHeight w:val="292"/>
        <w:jc w:val="center"/>
      </w:trPr>
      <w:tc>
        <w:tcPr>
          <w:tcW w:w="10207" w:type="dxa"/>
          <w:gridSpan w:val="4"/>
          <w:tcBorders>
            <w:bottom w:val="single" w:sz="4" w:space="0" w:color="auto"/>
          </w:tcBorders>
        </w:tcPr>
        <w:p w:rsidR="00FB0AA3" w:rsidRPr="00983F5B" w:rsidRDefault="007A6887" w:rsidP="000C176E">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Pr>
              <w:rFonts w:ascii="Century Gothic" w:eastAsia="Times New Roman" w:hAnsi="Century Gothic" w:cs="Arial"/>
              <w:smallCaps/>
              <w:color w:val="auto"/>
              <w:sz w:val="24"/>
              <w:szCs w:val="24"/>
              <w:lang w:val="en-GB"/>
            </w:rPr>
            <w:t xml:space="preserve">Culture of </w:t>
          </w:r>
          <w:r w:rsidR="000C176E">
            <w:rPr>
              <w:rFonts w:ascii="Century Gothic" w:eastAsia="Times New Roman" w:hAnsi="Century Gothic" w:cs="Arial"/>
              <w:smallCaps/>
              <w:color w:val="auto"/>
              <w:sz w:val="24"/>
              <w:szCs w:val="24"/>
              <w:lang w:val="en-GB"/>
            </w:rPr>
            <w:t>ear</w:t>
          </w:r>
          <w:r w:rsidR="00A47A0F">
            <w:rPr>
              <w:rFonts w:ascii="Century Gothic" w:eastAsia="Times New Roman" w:hAnsi="Century Gothic" w:cs="Arial"/>
              <w:smallCaps/>
              <w:color w:val="auto"/>
              <w:sz w:val="24"/>
              <w:szCs w:val="24"/>
              <w:lang w:val="en-GB"/>
            </w:rPr>
            <w:t xml:space="preserve"> </w:t>
          </w:r>
          <w:r w:rsidR="00783AF6">
            <w:rPr>
              <w:rFonts w:ascii="Century Gothic" w:eastAsia="Times New Roman" w:hAnsi="Century Gothic" w:cs="Arial"/>
              <w:smallCaps/>
              <w:color w:val="auto"/>
              <w:sz w:val="24"/>
              <w:szCs w:val="24"/>
              <w:lang w:val="en-GB"/>
            </w:rPr>
            <w:t>swabs</w:t>
          </w:r>
        </w:p>
      </w:tc>
    </w:tr>
    <w:tr w:rsidR="00FD5712" w:rsidRPr="00983F5B" w:rsidTr="0073622C">
      <w:trPr>
        <w:jc w:val="center"/>
      </w:trPr>
      <w:tc>
        <w:tcPr>
          <w:tcW w:w="2551" w:type="dxa"/>
          <w:tcBorders>
            <w:top w:val="single" w:sz="4" w:space="0" w:color="auto"/>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Document number / version:</w:t>
          </w:r>
        </w:p>
      </w:tc>
      <w:tc>
        <w:tcPr>
          <w:tcW w:w="2552" w:type="dxa"/>
          <w:tcBorders>
            <w:top w:val="single" w:sz="4" w:space="0" w:color="auto"/>
            <w:left w:val="nil"/>
            <w:bottom w:val="nil"/>
            <w:right w:val="nil"/>
          </w:tcBorders>
        </w:tcPr>
        <w:p w:rsidR="00FD5712" w:rsidRPr="00983F5B" w:rsidRDefault="00FD5712" w:rsidP="000C176E">
          <w:pPr>
            <w:pStyle w:val="Header"/>
            <w:spacing w:before="40" w:after="40" w:line="240" w:lineRule="auto"/>
            <w:rPr>
              <w:rFonts w:ascii="Century Gothic" w:hAnsi="Century Gothic"/>
              <w:sz w:val="16"/>
              <w:szCs w:val="16"/>
              <w:lang w:val="en-GB"/>
            </w:rPr>
          </w:pPr>
        </w:p>
      </w:tc>
      <w:tc>
        <w:tcPr>
          <w:tcW w:w="2552" w:type="dxa"/>
          <w:tcBorders>
            <w:top w:val="single" w:sz="4" w:space="0" w:color="auto"/>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Reviewed and approved by:</w:t>
          </w:r>
        </w:p>
      </w:tc>
      <w:tc>
        <w:tcPr>
          <w:tcW w:w="2552" w:type="dxa"/>
          <w:tcBorders>
            <w:top w:val="single" w:sz="4" w:space="0" w:color="auto"/>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r w:rsidR="00FD5712" w:rsidRPr="00983F5B" w:rsidTr="0073622C">
      <w:trPr>
        <w:jc w:val="center"/>
      </w:trPr>
      <w:tc>
        <w:tcPr>
          <w:tcW w:w="2551" w:type="dxa"/>
          <w:tcBorders>
            <w:top w:val="nil"/>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Replaces document:</w:t>
          </w:r>
        </w:p>
      </w:tc>
      <w:tc>
        <w:tcPr>
          <w:tcW w:w="2552" w:type="dxa"/>
          <w:tcBorders>
            <w:top w:val="nil"/>
            <w:left w:val="nil"/>
            <w:bottom w:val="nil"/>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p>
      </w:tc>
      <w:tc>
        <w:tcPr>
          <w:tcW w:w="2552" w:type="dxa"/>
          <w:tcBorders>
            <w:top w:val="nil"/>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original:</w:t>
          </w:r>
        </w:p>
      </w:tc>
      <w:tc>
        <w:tcPr>
          <w:tcW w:w="2552" w:type="dxa"/>
          <w:tcBorders>
            <w:top w:val="nil"/>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Sep-2005</w:t>
          </w:r>
        </w:p>
      </w:tc>
    </w:tr>
    <w:tr w:rsidR="00FD5712" w:rsidRPr="00983F5B" w:rsidTr="0073622C">
      <w:trPr>
        <w:jc w:val="center"/>
      </w:trPr>
      <w:tc>
        <w:tcPr>
          <w:tcW w:w="2551" w:type="dxa"/>
          <w:tcBorders>
            <w:top w:val="nil"/>
            <w:left w:val="single" w:sz="4" w:space="0" w:color="auto"/>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Applies to:</w:t>
          </w:r>
        </w:p>
      </w:tc>
      <w:tc>
        <w:tcPr>
          <w:tcW w:w="2552" w:type="dxa"/>
          <w:tcBorders>
            <w:top w:val="nil"/>
            <w:left w:val="nil"/>
            <w:bottom w:val="nil"/>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r w:rsidRPr="00EB39EE">
            <w:rPr>
              <w:rFonts w:ascii="Century Gothic" w:hAnsi="Century Gothic"/>
              <w:sz w:val="16"/>
              <w:szCs w:val="16"/>
              <w:lang w:val="en-GB"/>
            </w:rPr>
            <w:t>Microbiology laboratory</w:t>
          </w:r>
        </w:p>
      </w:tc>
      <w:tc>
        <w:tcPr>
          <w:tcW w:w="2552" w:type="dxa"/>
          <w:tcBorders>
            <w:top w:val="nil"/>
            <w:left w:val="nil"/>
            <w:bottom w:val="nil"/>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of revision:</w:t>
          </w:r>
        </w:p>
      </w:tc>
      <w:tc>
        <w:tcPr>
          <w:tcW w:w="2552" w:type="dxa"/>
          <w:tcBorders>
            <w:top w:val="nil"/>
            <w:left w:val="nil"/>
            <w:bottom w:val="nil"/>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r w:rsidR="00FD5712" w:rsidRPr="00983F5B" w:rsidTr="0073622C">
      <w:trPr>
        <w:jc w:val="center"/>
      </w:trPr>
      <w:tc>
        <w:tcPr>
          <w:tcW w:w="2551" w:type="dxa"/>
          <w:tcBorders>
            <w:top w:val="nil"/>
            <w:left w:val="single" w:sz="4" w:space="0" w:color="auto"/>
            <w:bottom w:val="single" w:sz="4" w:space="0" w:color="auto"/>
            <w:right w:val="nil"/>
          </w:tcBorders>
        </w:tcPr>
        <w:p w:rsidR="00FD5712" w:rsidRPr="00983F5B" w:rsidRDefault="0036502C" w:rsidP="005551B7">
          <w:pPr>
            <w:pStyle w:val="Header"/>
            <w:spacing w:before="40" w:after="40" w:line="240" w:lineRule="auto"/>
            <w:rPr>
              <w:rFonts w:ascii="Century Gothic" w:hAnsi="Century Gothic"/>
              <w:sz w:val="16"/>
              <w:szCs w:val="16"/>
              <w:lang w:val="en-GB"/>
            </w:rPr>
          </w:pPr>
          <w:r>
            <w:rPr>
              <w:rFonts w:ascii="Century Gothic" w:hAnsi="Century Gothic"/>
              <w:sz w:val="16"/>
              <w:szCs w:val="16"/>
              <w:lang w:val="en-GB"/>
            </w:rPr>
            <w:t>Modified</w:t>
          </w:r>
          <w:r w:rsidR="00FD5712" w:rsidRPr="00983F5B">
            <w:rPr>
              <w:rFonts w:ascii="Century Gothic" w:hAnsi="Century Gothic"/>
              <w:sz w:val="16"/>
              <w:szCs w:val="16"/>
              <w:lang w:val="en-GB"/>
            </w:rPr>
            <w:t xml:space="preserve"> by:</w:t>
          </w:r>
        </w:p>
      </w:tc>
      <w:tc>
        <w:tcPr>
          <w:tcW w:w="2552" w:type="dxa"/>
          <w:tcBorders>
            <w:top w:val="nil"/>
            <w:left w:val="nil"/>
            <w:bottom w:val="single" w:sz="4" w:space="0" w:color="auto"/>
            <w:right w:val="nil"/>
          </w:tcBorders>
        </w:tcPr>
        <w:p w:rsidR="00FD5712" w:rsidRPr="00EB39EE" w:rsidRDefault="00FD5712" w:rsidP="00E43F4A">
          <w:pPr>
            <w:pStyle w:val="Header"/>
            <w:spacing w:before="40" w:after="40" w:line="240" w:lineRule="auto"/>
            <w:rPr>
              <w:rFonts w:ascii="Century Gothic" w:hAnsi="Century Gothic"/>
              <w:sz w:val="16"/>
              <w:szCs w:val="16"/>
              <w:lang w:val="en-GB"/>
            </w:rPr>
          </w:pPr>
        </w:p>
      </w:tc>
      <w:tc>
        <w:tcPr>
          <w:tcW w:w="2552" w:type="dxa"/>
          <w:tcBorders>
            <w:top w:val="nil"/>
            <w:left w:val="nil"/>
            <w:bottom w:val="single" w:sz="4" w:space="0" w:color="auto"/>
            <w:right w:val="nil"/>
          </w:tcBorders>
        </w:tcPr>
        <w:p w:rsidR="00FD5712" w:rsidRPr="00983F5B" w:rsidRDefault="00FD5712" w:rsidP="005551B7">
          <w:pPr>
            <w:pStyle w:val="Header"/>
            <w:spacing w:before="40" w:after="40" w:line="240" w:lineRule="auto"/>
            <w:rPr>
              <w:rFonts w:ascii="Century Gothic" w:hAnsi="Century Gothic"/>
              <w:sz w:val="16"/>
              <w:szCs w:val="16"/>
              <w:lang w:val="en-GB"/>
            </w:rPr>
          </w:pPr>
          <w:r w:rsidRPr="00983F5B">
            <w:rPr>
              <w:rFonts w:ascii="Century Gothic" w:hAnsi="Century Gothic"/>
              <w:sz w:val="16"/>
              <w:szCs w:val="16"/>
              <w:lang w:val="en-GB"/>
            </w:rPr>
            <w:t>Date for review:</w:t>
          </w:r>
        </w:p>
      </w:tc>
      <w:tc>
        <w:tcPr>
          <w:tcW w:w="2552" w:type="dxa"/>
          <w:tcBorders>
            <w:top w:val="nil"/>
            <w:left w:val="nil"/>
            <w:bottom w:val="single" w:sz="4" w:space="0" w:color="auto"/>
            <w:right w:val="single" w:sz="4" w:space="0" w:color="auto"/>
          </w:tcBorders>
        </w:tcPr>
        <w:p w:rsidR="00FD5712" w:rsidRPr="00EB39EE" w:rsidRDefault="00FD5712" w:rsidP="00E43F4A">
          <w:pPr>
            <w:pStyle w:val="Header"/>
            <w:spacing w:before="40" w:after="40" w:line="240" w:lineRule="auto"/>
            <w:rPr>
              <w:rFonts w:ascii="Century Gothic" w:hAnsi="Century Gothic"/>
              <w:sz w:val="16"/>
              <w:szCs w:val="16"/>
              <w:lang w:val="en-GB"/>
            </w:rPr>
          </w:pPr>
        </w:p>
      </w:tc>
    </w:tr>
  </w:tbl>
  <w:p w:rsidR="00E211A0" w:rsidRPr="0036502C" w:rsidRDefault="00E211A0" w:rsidP="00D219C6">
    <w:pPr>
      <w:pStyle w:val="Header"/>
      <w:rPr>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02C" w:rsidRPr="0036502C" w:rsidRDefault="0036502C">
    <w:pPr>
      <w:rPr>
        <w:sz w:val="20"/>
      </w:rPr>
    </w:pPr>
    <w:r w:rsidRPr="0036502C">
      <w:rPr>
        <w:sz w:val="20"/>
      </w:rPr>
      <mc:AlternateContent>
        <mc:Choice Requires="wps">
          <w:drawing>
            <wp:anchor distT="0" distB="0" distL="114300" distR="114300" simplePos="0" relativeHeight="251663360" behindDoc="0" locked="0" layoutInCell="1" allowOverlap="1" wp14:anchorId="1107208E" wp14:editId="5978997D">
              <wp:simplePos x="0" y="0"/>
              <wp:positionH relativeFrom="margin">
                <wp:posOffset>2932430</wp:posOffset>
              </wp:positionH>
              <wp:positionV relativeFrom="paragraph">
                <wp:posOffset>-78740</wp:posOffset>
              </wp:positionV>
              <wp:extent cx="3067050" cy="525145"/>
              <wp:effectExtent l="0" t="0" r="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2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6502C" w:rsidRDefault="0036502C" w:rsidP="0036502C">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230.9pt;margin-top:-6.2pt;width:241.5pt;height:4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kgwIAABY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" stroked="f">
              <v:textbox>
                <w:txbxContent>
                  <w:p w:rsidR="0036502C" w:rsidRDefault="0036502C" w:rsidP="0036502C">
                    <w:pPr>
                      <w:rPr>
                        <w:i/>
                        <w:sz w:val="16"/>
                        <w:szCs w:val="16"/>
                      </w:rPr>
                    </w:pPr>
                    <w:r>
                      <w:rPr>
                        <w:i/>
                        <w:sz w:val="16"/>
                        <w:szCs w:val="16"/>
                      </w:rPr>
                      <w:t>This template document has been made freely available by COMRU-AHC.  Please adapt it as necessary for your work, and reference Global Health Laboratories when using this document, when possible.</w:t>
                    </w:r>
                  </w:p>
                </w:txbxContent>
              </v:textbox>
              <w10:wrap anchorx="margin"/>
            </v:shape>
          </w:pict>
        </mc:Fallback>
      </mc:AlternateContent>
    </w:r>
    <w:r w:rsidRPr="0036502C">
      <w:rPr>
        <w:sz w:val="20"/>
      </w:rPr>
      <w:drawing>
        <wp:anchor distT="0" distB="0" distL="114300" distR="114300" simplePos="0" relativeHeight="251662336" behindDoc="0" locked="0" layoutInCell="1" allowOverlap="1" wp14:anchorId="59B954A8" wp14:editId="35F19C54">
          <wp:simplePos x="0" y="0"/>
          <wp:positionH relativeFrom="margin">
            <wp:posOffset>-527685</wp:posOffset>
          </wp:positionH>
          <wp:positionV relativeFrom="margin">
            <wp:posOffset>-1868805</wp:posOffset>
          </wp:positionV>
          <wp:extent cx="1520190" cy="734695"/>
          <wp:effectExtent l="0" t="0" r="3810" b="8255"/>
          <wp:wrapSquare wrapText="bothSides"/>
          <wp:docPr id="3" name="Picture 3" descr="TGHN logo digital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GHN logo digital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190" cy="734695"/>
                  </a:xfrm>
                  <a:prstGeom prst="rect">
                    <a:avLst/>
                  </a:prstGeom>
                  <a:noFill/>
                </pic:spPr>
              </pic:pic>
            </a:graphicData>
          </a:graphic>
          <wp14:sizeRelH relativeFrom="margin">
            <wp14:pctWidth>0</wp14:pctWidth>
          </wp14:sizeRelH>
          <wp14:sizeRelV relativeFrom="margin">
            <wp14:pctHeight>0</wp14:pctHeight>
          </wp14:sizeRelV>
        </wp:anchor>
      </w:drawing>
    </w:r>
  </w:p>
  <w:p w:rsidR="0036502C" w:rsidRPr="0036502C" w:rsidRDefault="0036502C">
    <w:pPr>
      <w:rPr>
        <w:sz w:val="20"/>
      </w:rPr>
    </w:pPr>
  </w:p>
  <w:p w:rsidR="0036502C" w:rsidRPr="0036502C" w:rsidRDefault="0036502C">
    <w:pPr>
      <w:rPr>
        <w:sz w:val="20"/>
      </w:rPr>
    </w:pPr>
  </w:p>
  <w:tbl>
    <w:tblPr>
      <w:tblStyle w:val="TableGrid"/>
      <w:tblW w:w="10207" w:type="dxa"/>
      <w:jc w:val="center"/>
      <w:tblInd w:w="-743" w:type="dxa"/>
      <w:tblLook w:val="04A0" w:firstRow="1" w:lastRow="0" w:firstColumn="1" w:lastColumn="0" w:noHBand="0" w:noVBand="1"/>
    </w:tblPr>
    <w:tblGrid>
      <w:gridCol w:w="2551"/>
      <w:gridCol w:w="2552"/>
      <w:gridCol w:w="2552"/>
      <w:gridCol w:w="2552"/>
    </w:tblGrid>
    <w:tr w:rsidR="00515D26" w:rsidRPr="00FB0AA3" w:rsidTr="00FB0AA3">
      <w:trPr>
        <w:trHeight w:val="293"/>
        <w:jc w:val="center"/>
      </w:trPr>
      <w:tc>
        <w:tcPr>
          <w:tcW w:w="10207" w:type="dxa"/>
          <w:gridSpan w:val="4"/>
          <w:shd w:val="clear" w:color="auto" w:fill="000000" w:themeFill="text1"/>
        </w:tcPr>
        <w:p w:rsidR="00515D26" w:rsidRPr="00405ACC" w:rsidRDefault="00515D26" w:rsidP="00405ACC">
          <w:pPr>
            <w:pStyle w:val="HeaderEven"/>
            <w:pBdr>
              <w:bottom w:val="none" w:sz="0" w:space="0" w:color="auto"/>
            </w:pBdr>
            <w:spacing w:beforeLines="40" w:before="96" w:afterLines="40" w:after="96"/>
            <w:jc w:val="center"/>
            <w:rPr>
              <w:rFonts w:ascii="Century Gothic" w:hAnsi="Century Gothic" w:cs="Arial"/>
              <w:smallCaps/>
              <w:color w:val="auto"/>
              <w:sz w:val="24"/>
              <w:szCs w:val="24"/>
              <w:lang w:val="en-GB"/>
            </w:rPr>
          </w:pPr>
          <w:r w:rsidRPr="00405ACC">
            <w:rPr>
              <w:rFonts w:ascii="Century Gothic" w:hAnsi="Century Gothic" w:cs="Arial"/>
              <w:smallCaps/>
              <w:color w:val="FFFFFF" w:themeColor="background1"/>
              <w:sz w:val="24"/>
              <w:szCs w:val="24"/>
              <w:lang w:val="en-GB"/>
            </w:rPr>
            <w:t>Microbiology Standard Operating Procedure</w:t>
          </w:r>
        </w:p>
      </w:tc>
    </w:tr>
    <w:tr w:rsidR="00515D26" w:rsidRPr="00FB0AA3" w:rsidTr="00515D26">
      <w:trPr>
        <w:trHeight w:val="292"/>
        <w:jc w:val="center"/>
      </w:trPr>
      <w:tc>
        <w:tcPr>
          <w:tcW w:w="10207" w:type="dxa"/>
          <w:gridSpan w:val="4"/>
          <w:tcBorders>
            <w:bottom w:val="single" w:sz="4" w:space="0" w:color="auto"/>
          </w:tcBorders>
        </w:tcPr>
        <w:p w:rsidR="00515D26" w:rsidRPr="00405ACC" w:rsidRDefault="00A47A0F" w:rsidP="000C176E">
          <w:pPr>
            <w:pStyle w:val="HeaderEven"/>
            <w:pBdr>
              <w:bottom w:val="none" w:sz="0" w:space="0" w:color="auto"/>
            </w:pBdr>
            <w:spacing w:beforeLines="40" w:before="96" w:afterLines="40" w:after="96"/>
            <w:jc w:val="center"/>
            <w:rPr>
              <w:rFonts w:ascii="Century Gothic" w:hAnsi="Century Gothic" w:cs="Arial"/>
              <w:smallCaps/>
              <w:color w:val="auto"/>
              <w:lang w:val="en-GB"/>
            </w:rPr>
          </w:pPr>
          <w:r>
            <w:rPr>
              <w:rFonts w:ascii="Century Gothic" w:eastAsia="Times New Roman" w:hAnsi="Century Gothic" w:cs="Arial"/>
              <w:smallCaps/>
              <w:color w:val="auto"/>
              <w:sz w:val="24"/>
              <w:szCs w:val="24"/>
              <w:lang w:val="en-GB"/>
            </w:rPr>
            <w:t xml:space="preserve">Culture of </w:t>
          </w:r>
          <w:r w:rsidR="000C176E">
            <w:rPr>
              <w:rFonts w:ascii="Century Gothic" w:eastAsia="Times New Roman" w:hAnsi="Century Gothic" w:cs="Arial"/>
              <w:smallCaps/>
              <w:color w:val="auto"/>
              <w:sz w:val="24"/>
              <w:szCs w:val="24"/>
              <w:lang w:val="en-GB"/>
            </w:rPr>
            <w:t>ear</w:t>
          </w:r>
          <w:r>
            <w:rPr>
              <w:rFonts w:ascii="Century Gothic" w:eastAsia="Times New Roman" w:hAnsi="Century Gothic" w:cs="Arial"/>
              <w:smallCaps/>
              <w:color w:val="auto"/>
              <w:sz w:val="24"/>
              <w:szCs w:val="24"/>
              <w:lang w:val="en-GB"/>
            </w:rPr>
            <w:t xml:space="preserve"> swabs</w:t>
          </w:r>
        </w:p>
      </w:tc>
    </w:tr>
    <w:tr w:rsidR="00515D26" w:rsidRPr="00FB0AA3" w:rsidTr="00515D26">
      <w:trPr>
        <w:jc w:val="center"/>
      </w:trPr>
      <w:tc>
        <w:tcPr>
          <w:tcW w:w="2551" w:type="dxa"/>
          <w:tcBorders>
            <w:top w:val="single" w:sz="4" w:space="0" w:color="auto"/>
            <w:left w:val="single" w:sz="4" w:space="0" w:color="auto"/>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r w:rsidRPr="00D219C6">
            <w:rPr>
              <w:rFonts w:ascii="Century Gothic" w:hAnsi="Century Gothic"/>
              <w:sz w:val="16"/>
              <w:szCs w:val="16"/>
            </w:rPr>
            <w:t>Document number / version:</w:t>
          </w:r>
        </w:p>
      </w:tc>
      <w:tc>
        <w:tcPr>
          <w:tcW w:w="2552" w:type="dxa"/>
          <w:tcBorders>
            <w:top w:val="single" w:sz="4" w:space="0" w:color="auto"/>
            <w:left w:val="nil"/>
            <w:bottom w:val="single" w:sz="4" w:space="0" w:color="auto"/>
            <w:right w:val="nil"/>
          </w:tcBorders>
        </w:tcPr>
        <w:p w:rsidR="00515D26" w:rsidRPr="00D219C6" w:rsidRDefault="00515D26" w:rsidP="000C176E">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nil"/>
          </w:tcBorders>
        </w:tcPr>
        <w:p w:rsidR="00515D26" w:rsidRPr="00D219C6" w:rsidRDefault="00515D26" w:rsidP="005551B7">
          <w:pPr>
            <w:pStyle w:val="Header"/>
            <w:spacing w:before="40" w:after="40" w:line="240" w:lineRule="auto"/>
            <w:rPr>
              <w:rFonts w:ascii="Century Gothic" w:hAnsi="Century Gothic"/>
              <w:sz w:val="16"/>
              <w:szCs w:val="16"/>
            </w:rPr>
          </w:pPr>
        </w:p>
      </w:tc>
      <w:tc>
        <w:tcPr>
          <w:tcW w:w="2552" w:type="dxa"/>
          <w:tcBorders>
            <w:top w:val="single" w:sz="4" w:space="0" w:color="auto"/>
            <w:left w:val="nil"/>
            <w:bottom w:val="single" w:sz="4" w:space="0" w:color="auto"/>
            <w:right w:val="single" w:sz="4" w:space="0" w:color="auto"/>
          </w:tcBorders>
        </w:tcPr>
        <w:p w:rsidR="00515D26" w:rsidRPr="00D219C6" w:rsidRDefault="00515D26" w:rsidP="005551B7">
          <w:pPr>
            <w:pStyle w:val="Header"/>
            <w:spacing w:before="40" w:after="40" w:line="240" w:lineRule="auto"/>
            <w:rPr>
              <w:rFonts w:ascii="Century Gothic" w:hAnsi="Century Gothic"/>
              <w:sz w:val="16"/>
              <w:szCs w:val="16"/>
            </w:rPr>
          </w:pPr>
        </w:p>
      </w:tc>
    </w:tr>
  </w:tbl>
  <w:p w:rsidR="00515D26" w:rsidRPr="0036502C" w:rsidRDefault="00515D26" w:rsidP="00D219C6">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94B"/>
    <w:multiLevelType w:val="hybridMultilevel"/>
    <w:tmpl w:val="ECAACD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2C372E"/>
    <w:multiLevelType w:val="hybridMultilevel"/>
    <w:tmpl w:val="4A3A2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4B62A1"/>
    <w:multiLevelType w:val="hybridMultilevel"/>
    <w:tmpl w:val="E61A2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05D76"/>
    <w:multiLevelType w:val="hybridMultilevel"/>
    <w:tmpl w:val="8BAE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3337FE"/>
    <w:multiLevelType w:val="multilevel"/>
    <w:tmpl w:val="569890B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5592708"/>
    <w:multiLevelType w:val="hybridMultilevel"/>
    <w:tmpl w:val="4F781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34A20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BF374EC"/>
    <w:multiLevelType w:val="hybridMultilevel"/>
    <w:tmpl w:val="057CC5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C061A17"/>
    <w:multiLevelType w:val="hybridMultilevel"/>
    <w:tmpl w:val="3D4AA61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FC2D25"/>
    <w:multiLevelType w:val="hybridMultilevel"/>
    <w:tmpl w:val="2222F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E13A35"/>
    <w:multiLevelType w:val="hybridMultilevel"/>
    <w:tmpl w:val="9C784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D76601E"/>
    <w:multiLevelType w:val="hybridMultilevel"/>
    <w:tmpl w:val="74D8DCA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F9D735E"/>
    <w:multiLevelType w:val="hybridMultilevel"/>
    <w:tmpl w:val="2ED28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7"/>
  </w:num>
  <w:num w:numId="5">
    <w:abstractNumId w:val="10"/>
  </w:num>
  <w:num w:numId="6">
    <w:abstractNumId w:val="6"/>
  </w:num>
  <w:num w:numId="7">
    <w:abstractNumId w:val="11"/>
  </w:num>
  <w:num w:numId="8">
    <w:abstractNumId w:val="3"/>
  </w:num>
  <w:num w:numId="9">
    <w:abstractNumId w:val="5"/>
  </w:num>
  <w:num w:numId="10">
    <w:abstractNumId w:val="2"/>
  </w:num>
  <w:num w:numId="11">
    <w:abstractNumId w:val="8"/>
  </w:num>
  <w:num w:numId="12">
    <w:abstractNumId w:val="9"/>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712"/>
    <w:rsid w:val="0003682A"/>
    <w:rsid w:val="00037FFC"/>
    <w:rsid w:val="00050523"/>
    <w:rsid w:val="00052E0B"/>
    <w:rsid w:val="0006065D"/>
    <w:rsid w:val="00061722"/>
    <w:rsid w:val="00070AE6"/>
    <w:rsid w:val="00093BA1"/>
    <w:rsid w:val="000C0E7D"/>
    <w:rsid w:val="000C176E"/>
    <w:rsid w:val="000C56ED"/>
    <w:rsid w:val="000D2BED"/>
    <w:rsid w:val="000D7864"/>
    <w:rsid w:val="000E42C8"/>
    <w:rsid w:val="000F2935"/>
    <w:rsid w:val="000F6C11"/>
    <w:rsid w:val="00111502"/>
    <w:rsid w:val="001318FC"/>
    <w:rsid w:val="0013305D"/>
    <w:rsid w:val="00135CD7"/>
    <w:rsid w:val="001416B4"/>
    <w:rsid w:val="001541D0"/>
    <w:rsid w:val="00155726"/>
    <w:rsid w:val="001622B7"/>
    <w:rsid w:val="00163FDD"/>
    <w:rsid w:val="00165CAB"/>
    <w:rsid w:val="00183F44"/>
    <w:rsid w:val="001844CA"/>
    <w:rsid w:val="001B1A3E"/>
    <w:rsid w:val="001B2E44"/>
    <w:rsid w:val="001C0D5D"/>
    <w:rsid w:val="001C12FA"/>
    <w:rsid w:val="001C5564"/>
    <w:rsid w:val="001C78DD"/>
    <w:rsid w:val="001D3069"/>
    <w:rsid w:val="001D6CA5"/>
    <w:rsid w:val="001D730D"/>
    <w:rsid w:val="001E1CF0"/>
    <w:rsid w:val="001F1FEE"/>
    <w:rsid w:val="001F53DE"/>
    <w:rsid w:val="00205001"/>
    <w:rsid w:val="002050B6"/>
    <w:rsid w:val="002137CC"/>
    <w:rsid w:val="00220450"/>
    <w:rsid w:val="002207D4"/>
    <w:rsid w:val="00222C33"/>
    <w:rsid w:val="002378B2"/>
    <w:rsid w:val="0025785F"/>
    <w:rsid w:val="00262CF1"/>
    <w:rsid w:val="002720F6"/>
    <w:rsid w:val="00273D46"/>
    <w:rsid w:val="00287235"/>
    <w:rsid w:val="002A0619"/>
    <w:rsid w:val="002B0540"/>
    <w:rsid w:val="002B1409"/>
    <w:rsid w:val="002B381C"/>
    <w:rsid w:val="002C3D24"/>
    <w:rsid w:val="002E454D"/>
    <w:rsid w:val="002E4C34"/>
    <w:rsid w:val="002E5405"/>
    <w:rsid w:val="002F06D7"/>
    <w:rsid w:val="002F1B46"/>
    <w:rsid w:val="00314692"/>
    <w:rsid w:val="003403D8"/>
    <w:rsid w:val="00342E28"/>
    <w:rsid w:val="0036502C"/>
    <w:rsid w:val="00374FCE"/>
    <w:rsid w:val="003767D9"/>
    <w:rsid w:val="003A7A8A"/>
    <w:rsid w:val="003E203F"/>
    <w:rsid w:val="003E3668"/>
    <w:rsid w:val="00401B39"/>
    <w:rsid w:val="00405ACC"/>
    <w:rsid w:val="00426EC8"/>
    <w:rsid w:val="00427502"/>
    <w:rsid w:val="00430CFE"/>
    <w:rsid w:val="00445588"/>
    <w:rsid w:val="00472CD1"/>
    <w:rsid w:val="00477C4D"/>
    <w:rsid w:val="004927F0"/>
    <w:rsid w:val="004A2D57"/>
    <w:rsid w:val="004A35E6"/>
    <w:rsid w:val="004A37C2"/>
    <w:rsid w:val="004B5F42"/>
    <w:rsid w:val="004C4C4B"/>
    <w:rsid w:val="004C61F8"/>
    <w:rsid w:val="004C68C1"/>
    <w:rsid w:val="00506358"/>
    <w:rsid w:val="00515D26"/>
    <w:rsid w:val="005504A5"/>
    <w:rsid w:val="00550AD1"/>
    <w:rsid w:val="005544A3"/>
    <w:rsid w:val="005551B7"/>
    <w:rsid w:val="00556F4E"/>
    <w:rsid w:val="005A1B55"/>
    <w:rsid w:val="005B251F"/>
    <w:rsid w:val="005C3BF6"/>
    <w:rsid w:val="005E02C6"/>
    <w:rsid w:val="005E2910"/>
    <w:rsid w:val="005E2D38"/>
    <w:rsid w:val="00607BC3"/>
    <w:rsid w:val="0062454E"/>
    <w:rsid w:val="00632989"/>
    <w:rsid w:val="0065174C"/>
    <w:rsid w:val="00651DFA"/>
    <w:rsid w:val="006538C8"/>
    <w:rsid w:val="00656407"/>
    <w:rsid w:val="006C1DB9"/>
    <w:rsid w:val="006C4703"/>
    <w:rsid w:val="006C64AF"/>
    <w:rsid w:val="006D6F46"/>
    <w:rsid w:val="006D7E12"/>
    <w:rsid w:val="006F29EA"/>
    <w:rsid w:val="00726755"/>
    <w:rsid w:val="0073622C"/>
    <w:rsid w:val="00736DAA"/>
    <w:rsid w:val="00742CE0"/>
    <w:rsid w:val="00744DD1"/>
    <w:rsid w:val="00755AD3"/>
    <w:rsid w:val="0075617E"/>
    <w:rsid w:val="00761B46"/>
    <w:rsid w:val="0078032C"/>
    <w:rsid w:val="00783AF6"/>
    <w:rsid w:val="00797C0E"/>
    <w:rsid w:val="007A6887"/>
    <w:rsid w:val="007B1FB8"/>
    <w:rsid w:val="007C4674"/>
    <w:rsid w:val="007C7203"/>
    <w:rsid w:val="007C7A94"/>
    <w:rsid w:val="007D1756"/>
    <w:rsid w:val="007F2718"/>
    <w:rsid w:val="008166E6"/>
    <w:rsid w:val="0082089B"/>
    <w:rsid w:val="008269D6"/>
    <w:rsid w:val="00827B5D"/>
    <w:rsid w:val="00831B07"/>
    <w:rsid w:val="0084638E"/>
    <w:rsid w:val="00872110"/>
    <w:rsid w:val="0089285A"/>
    <w:rsid w:val="008957CB"/>
    <w:rsid w:val="008A102D"/>
    <w:rsid w:val="008A6CEE"/>
    <w:rsid w:val="008B0EF9"/>
    <w:rsid w:val="008B14C3"/>
    <w:rsid w:val="008E5800"/>
    <w:rsid w:val="008E6A1F"/>
    <w:rsid w:val="008F1617"/>
    <w:rsid w:val="008F61D3"/>
    <w:rsid w:val="00912418"/>
    <w:rsid w:val="00922F74"/>
    <w:rsid w:val="00924A58"/>
    <w:rsid w:val="0092723F"/>
    <w:rsid w:val="00935C33"/>
    <w:rsid w:val="009371B1"/>
    <w:rsid w:val="00960FDF"/>
    <w:rsid w:val="00983F5B"/>
    <w:rsid w:val="009914D3"/>
    <w:rsid w:val="00993F92"/>
    <w:rsid w:val="00995876"/>
    <w:rsid w:val="009B3C1E"/>
    <w:rsid w:val="009C3E57"/>
    <w:rsid w:val="009C6903"/>
    <w:rsid w:val="009E05EB"/>
    <w:rsid w:val="009E09F2"/>
    <w:rsid w:val="009E0BD9"/>
    <w:rsid w:val="009E56D7"/>
    <w:rsid w:val="009F1B07"/>
    <w:rsid w:val="009F1BFD"/>
    <w:rsid w:val="009F789F"/>
    <w:rsid w:val="00A05E55"/>
    <w:rsid w:val="00A12AEE"/>
    <w:rsid w:val="00A254A7"/>
    <w:rsid w:val="00A2682E"/>
    <w:rsid w:val="00A47A0F"/>
    <w:rsid w:val="00A53E7A"/>
    <w:rsid w:val="00A76CD0"/>
    <w:rsid w:val="00A77A6A"/>
    <w:rsid w:val="00A8312D"/>
    <w:rsid w:val="00AB52D9"/>
    <w:rsid w:val="00AB694E"/>
    <w:rsid w:val="00AC65D9"/>
    <w:rsid w:val="00AD588F"/>
    <w:rsid w:val="00AD5A01"/>
    <w:rsid w:val="00AD601A"/>
    <w:rsid w:val="00AE2510"/>
    <w:rsid w:val="00AE5F3A"/>
    <w:rsid w:val="00AF12A5"/>
    <w:rsid w:val="00AF160A"/>
    <w:rsid w:val="00B00ECA"/>
    <w:rsid w:val="00B1397E"/>
    <w:rsid w:val="00B25A72"/>
    <w:rsid w:val="00B424F6"/>
    <w:rsid w:val="00B46F3F"/>
    <w:rsid w:val="00B537CE"/>
    <w:rsid w:val="00B62444"/>
    <w:rsid w:val="00B62F56"/>
    <w:rsid w:val="00B649F2"/>
    <w:rsid w:val="00B7329C"/>
    <w:rsid w:val="00B83471"/>
    <w:rsid w:val="00B867F2"/>
    <w:rsid w:val="00B9151B"/>
    <w:rsid w:val="00B9205A"/>
    <w:rsid w:val="00BA6835"/>
    <w:rsid w:val="00BA79B5"/>
    <w:rsid w:val="00BB34D4"/>
    <w:rsid w:val="00BB6627"/>
    <w:rsid w:val="00BB6996"/>
    <w:rsid w:val="00BC2277"/>
    <w:rsid w:val="00BE36AF"/>
    <w:rsid w:val="00BE486E"/>
    <w:rsid w:val="00BE70AE"/>
    <w:rsid w:val="00BE7408"/>
    <w:rsid w:val="00BF4A7B"/>
    <w:rsid w:val="00C00018"/>
    <w:rsid w:val="00C1672F"/>
    <w:rsid w:val="00C33BD5"/>
    <w:rsid w:val="00C356FF"/>
    <w:rsid w:val="00C42B46"/>
    <w:rsid w:val="00C70106"/>
    <w:rsid w:val="00C722E9"/>
    <w:rsid w:val="00C76BBB"/>
    <w:rsid w:val="00C77F65"/>
    <w:rsid w:val="00C8267C"/>
    <w:rsid w:val="00C8635F"/>
    <w:rsid w:val="00C872AD"/>
    <w:rsid w:val="00C96A91"/>
    <w:rsid w:val="00CB272A"/>
    <w:rsid w:val="00CD298A"/>
    <w:rsid w:val="00CE0DAA"/>
    <w:rsid w:val="00CE139C"/>
    <w:rsid w:val="00D023B5"/>
    <w:rsid w:val="00D12562"/>
    <w:rsid w:val="00D219C6"/>
    <w:rsid w:val="00D24538"/>
    <w:rsid w:val="00D31D48"/>
    <w:rsid w:val="00D33D8C"/>
    <w:rsid w:val="00D35992"/>
    <w:rsid w:val="00D36001"/>
    <w:rsid w:val="00D7649D"/>
    <w:rsid w:val="00D863FC"/>
    <w:rsid w:val="00D93B2C"/>
    <w:rsid w:val="00DB667C"/>
    <w:rsid w:val="00DB76DC"/>
    <w:rsid w:val="00DC5A51"/>
    <w:rsid w:val="00DD0470"/>
    <w:rsid w:val="00E00F1A"/>
    <w:rsid w:val="00E065D7"/>
    <w:rsid w:val="00E13FF7"/>
    <w:rsid w:val="00E211A0"/>
    <w:rsid w:val="00E22FFC"/>
    <w:rsid w:val="00E26FA7"/>
    <w:rsid w:val="00E303D4"/>
    <w:rsid w:val="00E33B1E"/>
    <w:rsid w:val="00E35181"/>
    <w:rsid w:val="00E4097D"/>
    <w:rsid w:val="00E40BB2"/>
    <w:rsid w:val="00E45F25"/>
    <w:rsid w:val="00E47BDE"/>
    <w:rsid w:val="00E50BF5"/>
    <w:rsid w:val="00E65C0B"/>
    <w:rsid w:val="00E73FFE"/>
    <w:rsid w:val="00E770E0"/>
    <w:rsid w:val="00E8035A"/>
    <w:rsid w:val="00E96D99"/>
    <w:rsid w:val="00EA1783"/>
    <w:rsid w:val="00EC4233"/>
    <w:rsid w:val="00ED071C"/>
    <w:rsid w:val="00ED1662"/>
    <w:rsid w:val="00ED1ABE"/>
    <w:rsid w:val="00EF0D32"/>
    <w:rsid w:val="00EF0F49"/>
    <w:rsid w:val="00EF2949"/>
    <w:rsid w:val="00F20F73"/>
    <w:rsid w:val="00F306FC"/>
    <w:rsid w:val="00F3273D"/>
    <w:rsid w:val="00F3392A"/>
    <w:rsid w:val="00F3705A"/>
    <w:rsid w:val="00F92AC0"/>
    <w:rsid w:val="00F92ACC"/>
    <w:rsid w:val="00FB0AA3"/>
    <w:rsid w:val="00FB51CD"/>
    <w:rsid w:val="00FC759D"/>
    <w:rsid w:val="00FD1DC0"/>
    <w:rsid w:val="00FD4A1B"/>
    <w:rsid w:val="00FD5712"/>
    <w:rsid w:val="00FF73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Helvetica"/>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Hyperlink" w:uiPriority="99"/>
    <w:lsdException w:name="Strong" w:uiPriority="22"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19C6"/>
    <w:pPr>
      <w:spacing w:after="120" w:line="276" w:lineRule="auto"/>
      <w:jc w:val="both"/>
    </w:pPr>
    <w:rPr>
      <w:rFonts w:ascii="Arial Narrow" w:hAnsi="Arial Narrow" w:cs="Arial"/>
      <w:sz w:val="24"/>
      <w:lang w:val="en-US" w:eastAsia="en-US"/>
    </w:rPr>
  </w:style>
  <w:style w:type="paragraph" w:styleId="Heading1">
    <w:name w:val="heading 1"/>
    <w:basedOn w:val="Normal"/>
    <w:next w:val="Normal"/>
    <w:link w:val="Heading1Char"/>
    <w:qFormat/>
    <w:rsid w:val="00D219C6"/>
    <w:pPr>
      <w:keepNext/>
      <w:widowControl w:val="0"/>
      <w:numPr>
        <w:numId w:val="1"/>
      </w:numPr>
      <w:autoSpaceDE w:val="0"/>
      <w:autoSpaceDN w:val="0"/>
      <w:adjustRightInd w:val="0"/>
      <w:ind w:left="431" w:hanging="431"/>
      <w:outlineLvl w:val="0"/>
    </w:pPr>
    <w:rPr>
      <w:rFonts w:ascii="Century Gothic" w:eastAsia="Times New Roman" w:hAnsi="Century Gothic"/>
      <w:b/>
    </w:rPr>
  </w:style>
  <w:style w:type="paragraph" w:styleId="Heading2">
    <w:name w:val="heading 2"/>
    <w:basedOn w:val="Normal"/>
    <w:next w:val="Normal"/>
    <w:link w:val="Heading2Char"/>
    <w:qFormat/>
    <w:rsid w:val="00D219C6"/>
    <w:pPr>
      <w:keepNext/>
      <w:widowControl w:val="0"/>
      <w:numPr>
        <w:ilvl w:val="1"/>
        <w:numId w:val="1"/>
      </w:numPr>
      <w:autoSpaceDE w:val="0"/>
      <w:autoSpaceDN w:val="0"/>
      <w:adjustRightInd w:val="0"/>
      <w:outlineLvl w:val="1"/>
    </w:pPr>
    <w:rPr>
      <w:rFonts w:ascii="Century Gothic" w:eastAsia="Times New Roman" w:hAnsi="Century Gothic"/>
      <w:b/>
      <w:i/>
    </w:rPr>
  </w:style>
  <w:style w:type="paragraph" w:styleId="Heading3">
    <w:name w:val="heading 3"/>
    <w:basedOn w:val="Normal"/>
    <w:next w:val="Normal"/>
    <w:link w:val="Heading3Char"/>
    <w:qFormat/>
    <w:rsid w:val="00D219C6"/>
    <w:pPr>
      <w:keepNext/>
      <w:widowControl w:val="0"/>
      <w:numPr>
        <w:ilvl w:val="2"/>
        <w:numId w:val="1"/>
      </w:numPr>
      <w:autoSpaceDE w:val="0"/>
      <w:autoSpaceDN w:val="0"/>
      <w:adjustRightInd w:val="0"/>
      <w:outlineLvl w:val="2"/>
    </w:pPr>
    <w:rPr>
      <w:rFonts w:ascii="Century Gothic" w:eastAsia="Times New Roman" w:hAnsi="Century Gothic"/>
      <w:b/>
      <w:i/>
      <w:szCs w:val="24"/>
    </w:rPr>
  </w:style>
  <w:style w:type="paragraph" w:styleId="Heading4">
    <w:name w:val="heading 4"/>
    <w:basedOn w:val="Normal"/>
    <w:next w:val="Normal"/>
    <w:link w:val="Heading4Char"/>
    <w:qFormat/>
    <w:rsid w:val="00D219C6"/>
    <w:pPr>
      <w:keepNext/>
      <w:numPr>
        <w:ilvl w:val="3"/>
        <w:numId w:val="1"/>
      </w:numPr>
      <w:spacing w:before="240" w:after="60"/>
      <w:outlineLvl w:val="3"/>
    </w:pPr>
    <w:rPr>
      <w:rFonts w:ascii="Century Gothic" w:eastAsia="Times New Roman" w:hAnsi="Century Gothic"/>
      <w:b/>
      <w:bCs/>
      <w:i/>
      <w:szCs w:val="24"/>
    </w:rPr>
  </w:style>
  <w:style w:type="paragraph" w:styleId="Heading5">
    <w:name w:val="heading 5"/>
    <w:basedOn w:val="Normal"/>
    <w:next w:val="Normal"/>
    <w:link w:val="Heading5Char"/>
    <w:semiHidden/>
    <w:unhideWhenUsed/>
    <w:qFormat/>
    <w:rsid w:val="00405AC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1C6AAB"/>
    <w:pPr>
      <w:keepNext/>
      <w:numPr>
        <w:ilvl w:val="5"/>
        <w:numId w:val="1"/>
      </w:numPr>
      <w:outlineLvl w:val="5"/>
    </w:pPr>
    <w:rPr>
      <w:rFonts w:ascii="Garamond" w:eastAsia="Times New Roman" w:hAnsi="Garamond" w:cs="Times"/>
      <w:b/>
      <w:bCs/>
      <w:sz w:val="32"/>
      <w:szCs w:val="24"/>
      <w:lang w:val="en-GB"/>
    </w:rPr>
  </w:style>
  <w:style w:type="paragraph" w:styleId="Heading7">
    <w:name w:val="heading 7"/>
    <w:basedOn w:val="Normal"/>
    <w:next w:val="Normal"/>
    <w:link w:val="Heading7Char"/>
    <w:semiHidden/>
    <w:unhideWhenUsed/>
    <w:qFormat/>
    <w:rsid w:val="00405AC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405ACC"/>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405AC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BodyText">
    <w:name w:val="Body Text"/>
    <w:basedOn w:val="Normal"/>
    <w:pPr>
      <w:autoSpaceDE w:val="0"/>
      <w:autoSpaceDN w:val="0"/>
      <w:adjustRightInd w:val="0"/>
      <w:ind w:left="850"/>
    </w:pPr>
    <w:rPr>
      <w:rFonts w:ascii="Arial" w:eastAsia="Times New Roman" w:hAnsi="Arial"/>
      <w:sz w:val="22"/>
      <w:lang w:val="en-GB"/>
    </w:rPr>
  </w:style>
  <w:style w:type="character" w:styleId="PageNumber">
    <w:name w:val="page number"/>
    <w:basedOn w:val="DefaultParagraphFont"/>
  </w:style>
  <w:style w:type="table" w:styleId="TableGrid">
    <w:name w:val="Table Grid"/>
    <w:basedOn w:val="TableNormal"/>
    <w:uiPriority w:val="59"/>
    <w:rsid w:val="00B91C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E34168"/>
    <w:rPr>
      <w:rFonts w:ascii="Tahoma" w:hAnsi="Tahoma" w:cs="Tahoma"/>
      <w:sz w:val="16"/>
      <w:szCs w:val="16"/>
    </w:rPr>
  </w:style>
  <w:style w:type="character" w:styleId="Hyperlink">
    <w:name w:val="Hyperlink"/>
    <w:uiPriority w:val="99"/>
    <w:rsid w:val="001963B0"/>
    <w:rPr>
      <w:rFonts w:cs="Times New Roman"/>
      <w:color w:val="0000FF"/>
      <w:u w:val="single"/>
    </w:rPr>
  </w:style>
  <w:style w:type="paragraph" w:styleId="BodyText3">
    <w:name w:val="Body Text 3"/>
    <w:basedOn w:val="Normal"/>
    <w:link w:val="BodyText3Char"/>
    <w:rsid w:val="001C156B"/>
    <w:pPr>
      <w:widowControl w:val="0"/>
      <w:autoSpaceDE w:val="0"/>
      <w:autoSpaceDN w:val="0"/>
      <w:adjustRightInd w:val="0"/>
    </w:pPr>
    <w:rPr>
      <w:rFonts w:ascii="Courier New" w:eastAsia="Times New Roman" w:hAnsi="Courier New" w:cs="Courier New"/>
      <w:sz w:val="16"/>
      <w:szCs w:val="16"/>
    </w:rPr>
  </w:style>
  <w:style w:type="character" w:customStyle="1" w:styleId="BodyText3Char">
    <w:name w:val="Body Text 3 Char"/>
    <w:link w:val="BodyText3"/>
    <w:rsid w:val="001C156B"/>
    <w:rPr>
      <w:rFonts w:ascii="Courier New" w:eastAsia="Times New Roman" w:hAnsi="Courier New" w:cs="Courier New"/>
      <w:sz w:val="16"/>
      <w:szCs w:val="16"/>
    </w:rPr>
  </w:style>
  <w:style w:type="character" w:customStyle="1" w:styleId="Heading4Char">
    <w:name w:val="Heading 4 Char"/>
    <w:link w:val="Heading4"/>
    <w:rsid w:val="00D219C6"/>
    <w:rPr>
      <w:rFonts w:ascii="Century Gothic" w:eastAsia="Times New Roman" w:hAnsi="Century Gothic" w:cs="Arial"/>
      <w:b/>
      <w:bCs/>
      <w:i/>
      <w:sz w:val="24"/>
      <w:szCs w:val="24"/>
      <w:lang w:val="en-US" w:eastAsia="en-US"/>
    </w:rPr>
  </w:style>
  <w:style w:type="character" w:customStyle="1" w:styleId="Heading6Char">
    <w:name w:val="Heading 6 Char"/>
    <w:link w:val="Heading6"/>
    <w:rsid w:val="001C6AAB"/>
    <w:rPr>
      <w:rFonts w:ascii="Garamond" w:eastAsia="Times New Roman" w:hAnsi="Garamond" w:cs="Times"/>
      <w:b/>
      <w:bCs/>
      <w:sz w:val="32"/>
      <w:szCs w:val="24"/>
      <w:lang w:eastAsia="en-US"/>
    </w:rPr>
  </w:style>
  <w:style w:type="character" w:customStyle="1" w:styleId="Heading1Char">
    <w:name w:val="Heading 1 Char"/>
    <w:link w:val="Heading1"/>
    <w:rsid w:val="00D219C6"/>
    <w:rPr>
      <w:rFonts w:ascii="Century Gothic" w:eastAsia="Times New Roman" w:hAnsi="Century Gothic" w:cs="Arial"/>
      <w:b/>
      <w:sz w:val="24"/>
      <w:lang w:val="en-US" w:eastAsia="en-US"/>
    </w:rPr>
  </w:style>
  <w:style w:type="character" w:customStyle="1" w:styleId="Heading2Char">
    <w:name w:val="Heading 2 Char"/>
    <w:link w:val="Heading2"/>
    <w:rsid w:val="00D219C6"/>
    <w:rPr>
      <w:rFonts w:ascii="Century Gothic" w:eastAsia="Times New Roman" w:hAnsi="Century Gothic" w:cs="Arial"/>
      <w:b/>
      <w:i/>
      <w:sz w:val="24"/>
      <w:lang w:val="en-US" w:eastAsia="en-US"/>
    </w:rPr>
  </w:style>
  <w:style w:type="character" w:customStyle="1" w:styleId="Heading3Char">
    <w:name w:val="Heading 3 Char"/>
    <w:link w:val="Heading3"/>
    <w:rsid w:val="00D219C6"/>
    <w:rPr>
      <w:rFonts w:ascii="Century Gothic" w:eastAsia="Times New Roman" w:hAnsi="Century Gothic" w:cs="Arial"/>
      <w:b/>
      <w:i/>
      <w:sz w:val="24"/>
      <w:szCs w:val="24"/>
      <w:lang w:val="en-US" w:eastAsia="en-US"/>
    </w:rPr>
  </w:style>
  <w:style w:type="character" w:customStyle="1" w:styleId="FooterChar">
    <w:name w:val="Footer Char"/>
    <w:link w:val="Footer"/>
    <w:rsid w:val="001C6AAB"/>
    <w:rPr>
      <w:sz w:val="24"/>
      <w:lang w:val="en-AU"/>
    </w:rPr>
  </w:style>
  <w:style w:type="character" w:customStyle="1" w:styleId="BalloonTextChar">
    <w:name w:val="Balloon Text Char"/>
    <w:link w:val="BalloonText"/>
    <w:uiPriority w:val="99"/>
    <w:semiHidden/>
    <w:rsid w:val="001C6AAB"/>
    <w:rPr>
      <w:rFonts w:ascii="Tahoma" w:hAnsi="Tahoma" w:cs="Tahoma"/>
      <w:sz w:val="16"/>
      <w:szCs w:val="16"/>
      <w:lang w:val="en-AU"/>
    </w:rPr>
  </w:style>
  <w:style w:type="character" w:styleId="CommentReference">
    <w:name w:val="annotation reference"/>
    <w:uiPriority w:val="99"/>
    <w:unhideWhenUsed/>
    <w:rsid w:val="001C6AAB"/>
    <w:rPr>
      <w:sz w:val="16"/>
      <w:szCs w:val="16"/>
    </w:rPr>
  </w:style>
  <w:style w:type="paragraph" w:styleId="CommentText">
    <w:name w:val="annotation text"/>
    <w:basedOn w:val="Normal"/>
    <w:link w:val="CommentTextChar"/>
    <w:uiPriority w:val="99"/>
    <w:unhideWhenUsed/>
    <w:rsid w:val="001C6AAB"/>
    <w:rPr>
      <w:rFonts w:ascii="Times New Roman" w:eastAsia="Times New Roman" w:hAnsi="Times New Roman" w:cs="Times New Roman"/>
      <w:sz w:val="20"/>
      <w:lang w:val="en-GB"/>
    </w:rPr>
  </w:style>
  <w:style w:type="character" w:customStyle="1" w:styleId="CommentTextChar">
    <w:name w:val="Comment Text Char"/>
    <w:link w:val="CommentText"/>
    <w:uiPriority w:val="99"/>
    <w:rsid w:val="001C6AAB"/>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unhideWhenUsed/>
    <w:rsid w:val="001C6AAB"/>
    <w:rPr>
      <w:b/>
      <w:bCs/>
    </w:rPr>
  </w:style>
  <w:style w:type="character" w:customStyle="1" w:styleId="CommentSubjectChar">
    <w:name w:val="Comment Subject Char"/>
    <w:link w:val="CommentSubject"/>
    <w:uiPriority w:val="99"/>
    <w:rsid w:val="001C6AAB"/>
    <w:rPr>
      <w:rFonts w:ascii="Times New Roman" w:eastAsia="Times New Roman" w:hAnsi="Times New Roman" w:cs="Times New Roman"/>
      <w:b/>
      <w:bCs/>
    </w:rPr>
  </w:style>
  <w:style w:type="paragraph" w:customStyle="1" w:styleId="MediumGrid1-Accent21">
    <w:name w:val="Medium Grid 1 - Accent 21"/>
    <w:basedOn w:val="Normal"/>
    <w:uiPriority w:val="34"/>
    <w:qFormat/>
    <w:rsid w:val="001C6AAB"/>
    <w:pPr>
      <w:ind w:left="720"/>
    </w:pPr>
    <w:rPr>
      <w:rFonts w:ascii="Times New Roman" w:eastAsia="Times New Roman" w:hAnsi="Times New Roman" w:cs="Times New Roman"/>
      <w:szCs w:val="24"/>
      <w:lang w:val="en-GB"/>
    </w:rPr>
  </w:style>
  <w:style w:type="paragraph" w:styleId="BodyText2">
    <w:name w:val="Body Text 2"/>
    <w:basedOn w:val="Normal"/>
    <w:link w:val="BodyText2Char"/>
    <w:rsid w:val="00E770E0"/>
    <w:pPr>
      <w:spacing w:line="480" w:lineRule="auto"/>
    </w:pPr>
  </w:style>
  <w:style w:type="character" w:customStyle="1" w:styleId="BodyText2Char">
    <w:name w:val="Body Text 2 Char"/>
    <w:link w:val="BodyText2"/>
    <w:rsid w:val="00E770E0"/>
    <w:rPr>
      <w:sz w:val="24"/>
      <w:lang w:val="en-AU"/>
    </w:rPr>
  </w:style>
  <w:style w:type="paragraph" w:customStyle="1" w:styleId="HeaderEven">
    <w:name w:val="Header Even"/>
    <w:basedOn w:val="NoSpacing"/>
    <w:rsid w:val="00E47BDE"/>
    <w:pPr>
      <w:pBdr>
        <w:bottom w:val="single" w:sz="4" w:space="1" w:color="4F81BD" w:themeColor="accent1"/>
      </w:pBdr>
    </w:pPr>
    <w:rPr>
      <w:rFonts w:asciiTheme="minorHAnsi" w:eastAsiaTheme="minorHAnsi" w:hAnsiTheme="minorHAnsi" w:cs="Times New Roman"/>
      <w:b/>
      <w:color w:val="1F497D" w:themeColor="text2"/>
      <w:sz w:val="20"/>
      <w:lang w:val="en-US" w:eastAsia="ja-JP"/>
    </w:rPr>
  </w:style>
  <w:style w:type="paragraph" w:styleId="NoSpacing">
    <w:name w:val="No Spacing"/>
    <w:uiPriority w:val="1"/>
    <w:qFormat/>
    <w:rsid w:val="00E47BDE"/>
    <w:rPr>
      <w:sz w:val="24"/>
      <w:lang w:val="en-AU" w:eastAsia="en-US"/>
    </w:rPr>
  </w:style>
  <w:style w:type="character" w:styleId="Strong">
    <w:name w:val="Strong"/>
    <w:uiPriority w:val="22"/>
    <w:qFormat/>
    <w:rsid w:val="00314692"/>
    <w:rPr>
      <w:rFonts w:ascii="Times New Roman" w:hAnsi="Times New Roman" w:cs="Arial"/>
      <w:b w:val="0"/>
      <w:i w:val="0"/>
      <w:color w:val="000000"/>
      <w:sz w:val="24"/>
      <w:szCs w:val="20"/>
    </w:rPr>
  </w:style>
  <w:style w:type="paragraph" w:styleId="ListParagraph">
    <w:name w:val="List Paragraph"/>
    <w:basedOn w:val="Normal"/>
    <w:uiPriority w:val="34"/>
    <w:qFormat/>
    <w:rsid w:val="00314692"/>
    <w:pPr>
      <w:ind w:left="720"/>
      <w:contextualSpacing/>
    </w:pPr>
  </w:style>
  <w:style w:type="character" w:customStyle="1" w:styleId="Heading5Char">
    <w:name w:val="Heading 5 Char"/>
    <w:basedOn w:val="DefaultParagraphFont"/>
    <w:link w:val="Heading5"/>
    <w:semiHidden/>
    <w:rsid w:val="00405ACC"/>
    <w:rPr>
      <w:rFonts w:asciiTheme="majorHAnsi" w:eastAsiaTheme="majorEastAsia" w:hAnsiTheme="majorHAnsi" w:cstheme="majorBidi"/>
      <w:color w:val="243F60" w:themeColor="accent1" w:themeShade="7F"/>
      <w:sz w:val="24"/>
      <w:lang w:val="en-US" w:eastAsia="en-US"/>
    </w:rPr>
  </w:style>
  <w:style w:type="character" w:customStyle="1" w:styleId="Heading7Char">
    <w:name w:val="Heading 7 Char"/>
    <w:basedOn w:val="DefaultParagraphFont"/>
    <w:link w:val="Heading7"/>
    <w:semiHidden/>
    <w:rsid w:val="00405ACC"/>
    <w:rPr>
      <w:rFonts w:asciiTheme="majorHAnsi" w:eastAsiaTheme="majorEastAsia" w:hAnsiTheme="majorHAnsi" w:cstheme="majorBidi"/>
      <w:i/>
      <w:iCs/>
      <w:color w:val="404040" w:themeColor="text1" w:themeTint="BF"/>
      <w:sz w:val="24"/>
      <w:lang w:val="en-US" w:eastAsia="en-US"/>
    </w:rPr>
  </w:style>
  <w:style w:type="character" w:customStyle="1" w:styleId="Heading8Char">
    <w:name w:val="Heading 8 Char"/>
    <w:basedOn w:val="DefaultParagraphFont"/>
    <w:link w:val="Heading8"/>
    <w:semiHidden/>
    <w:rsid w:val="00405ACC"/>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semiHidden/>
    <w:rsid w:val="00405ACC"/>
    <w:rPr>
      <w:rFonts w:asciiTheme="majorHAnsi" w:eastAsiaTheme="majorEastAsia" w:hAnsiTheme="majorHAnsi" w:cstheme="majorBidi"/>
      <w:i/>
      <w:iCs/>
      <w:color w:val="404040" w:themeColor="text1" w:themeTint="B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183916">
      <w:bodyDiv w:val="1"/>
      <w:marLeft w:val="0"/>
      <w:marRight w:val="0"/>
      <w:marTop w:val="0"/>
      <w:marBottom w:val="0"/>
      <w:divBdr>
        <w:top w:val="none" w:sz="0" w:space="0" w:color="auto"/>
        <w:left w:val="none" w:sz="0" w:space="0" w:color="auto"/>
        <w:bottom w:val="none" w:sz="0" w:space="0" w:color="auto"/>
        <w:right w:val="none" w:sz="0" w:space="0" w:color="auto"/>
      </w:divBdr>
      <w:divsChild>
        <w:div w:id="2064865871">
          <w:marLeft w:val="0"/>
          <w:marRight w:val="0"/>
          <w:marTop w:val="0"/>
          <w:marBottom w:val="0"/>
          <w:divBdr>
            <w:top w:val="none" w:sz="0" w:space="0" w:color="auto"/>
            <w:left w:val="none" w:sz="0" w:space="0" w:color="auto"/>
            <w:bottom w:val="none" w:sz="0" w:space="0" w:color="auto"/>
            <w:right w:val="none" w:sz="0" w:space="0" w:color="auto"/>
          </w:divBdr>
          <w:divsChild>
            <w:div w:id="122891135">
              <w:marLeft w:val="0"/>
              <w:marRight w:val="0"/>
              <w:marTop w:val="0"/>
              <w:marBottom w:val="0"/>
              <w:divBdr>
                <w:top w:val="none" w:sz="0" w:space="0" w:color="auto"/>
                <w:left w:val="none" w:sz="0" w:space="0" w:color="auto"/>
                <w:bottom w:val="none" w:sz="0" w:space="0" w:color="auto"/>
                <w:right w:val="none" w:sz="0" w:space="0" w:color="auto"/>
              </w:divBdr>
            </w:div>
            <w:div w:id="7779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40390">
      <w:bodyDiv w:val="1"/>
      <w:marLeft w:val="0"/>
      <w:marRight w:val="0"/>
      <w:marTop w:val="0"/>
      <w:marBottom w:val="0"/>
      <w:divBdr>
        <w:top w:val="none" w:sz="0" w:space="0" w:color="auto"/>
        <w:left w:val="none" w:sz="0" w:space="0" w:color="auto"/>
        <w:bottom w:val="none" w:sz="0" w:space="0" w:color="auto"/>
        <w:right w:val="none" w:sz="0" w:space="0" w:color="auto"/>
      </w:divBdr>
      <w:divsChild>
        <w:div w:id="706609333">
          <w:marLeft w:val="0"/>
          <w:marRight w:val="0"/>
          <w:marTop w:val="0"/>
          <w:marBottom w:val="0"/>
          <w:divBdr>
            <w:top w:val="none" w:sz="0" w:space="0" w:color="auto"/>
            <w:left w:val="none" w:sz="0" w:space="0" w:color="auto"/>
            <w:bottom w:val="none" w:sz="0" w:space="0" w:color="auto"/>
            <w:right w:val="none" w:sz="0" w:space="0" w:color="auto"/>
          </w:divBdr>
          <w:divsChild>
            <w:div w:id="403988421">
              <w:marLeft w:val="0"/>
              <w:marRight w:val="0"/>
              <w:marTop w:val="0"/>
              <w:marBottom w:val="0"/>
              <w:divBdr>
                <w:top w:val="none" w:sz="0" w:space="0" w:color="auto"/>
                <w:left w:val="none" w:sz="0" w:space="0" w:color="auto"/>
                <w:bottom w:val="none" w:sz="0" w:space="0" w:color="auto"/>
                <w:right w:val="none" w:sz="0" w:space="0" w:color="auto"/>
              </w:divBdr>
            </w:div>
            <w:div w:id="539130962">
              <w:marLeft w:val="0"/>
              <w:marRight w:val="0"/>
              <w:marTop w:val="0"/>
              <w:marBottom w:val="0"/>
              <w:divBdr>
                <w:top w:val="none" w:sz="0" w:space="0" w:color="auto"/>
                <w:left w:val="none" w:sz="0" w:space="0" w:color="auto"/>
                <w:bottom w:val="none" w:sz="0" w:space="0" w:color="auto"/>
                <w:right w:val="none" w:sz="0" w:space="0" w:color="auto"/>
              </w:divBdr>
            </w:div>
            <w:div w:id="819884695">
              <w:marLeft w:val="0"/>
              <w:marRight w:val="0"/>
              <w:marTop w:val="0"/>
              <w:marBottom w:val="0"/>
              <w:divBdr>
                <w:top w:val="none" w:sz="0" w:space="0" w:color="auto"/>
                <w:left w:val="none" w:sz="0" w:space="0" w:color="auto"/>
                <w:bottom w:val="none" w:sz="0" w:space="0" w:color="auto"/>
                <w:right w:val="none" w:sz="0" w:space="0" w:color="auto"/>
              </w:divBdr>
            </w:div>
            <w:div w:id="196372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40309">
      <w:bodyDiv w:val="1"/>
      <w:marLeft w:val="0"/>
      <w:marRight w:val="0"/>
      <w:marTop w:val="0"/>
      <w:marBottom w:val="0"/>
      <w:divBdr>
        <w:top w:val="none" w:sz="0" w:space="0" w:color="auto"/>
        <w:left w:val="none" w:sz="0" w:space="0" w:color="auto"/>
        <w:bottom w:val="none" w:sz="0" w:space="0" w:color="auto"/>
        <w:right w:val="none" w:sz="0" w:space="0" w:color="auto"/>
      </w:divBdr>
      <w:divsChild>
        <w:div w:id="1328442274">
          <w:marLeft w:val="0"/>
          <w:marRight w:val="0"/>
          <w:marTop w:val="0"/>
          <w:marBottom w:val="0"/>
          <w:divBdr>
            <w:top w:val="none" w:sz="0" w:space="0" w:color="auto"/>
            <w:left w:val="none" w:sz="0" w:space="0" w:color="auto"/>
            <w:bottom w:val="none" w:sz="0" w:space="0" w:color="auto"/>
            <w:right w:val="none" w:sz="0" w:space="0" w:color="auto"/>
          </w:divBdr>
          <w:divsChild>
            <w:div w:id="1048257898">
              <w:marLeft w:val="0"/>
              <w:marRight w:val="0"/>
              <w:marTop w:val="0"/>
              <w:marBottom w:val="0"/>
              <w:divBdr>
                <w:top w:val="none" w:sz="0" w:space="0" w:color="auto"/>
                <w:left w:val="none" w:sz="0" w:space="0" w:color="auto"/>
                <w:bottom w:val="none" w:sz="0" w:space="0" w:color="auto"/>
                <w:right w:val="none" w:sz="0" w:space="0" w:color="auto"/>
              </w:divBdr>
            </w:div>
            <w:div w:id="1762263407">
              <w:marLeft w:val="0"/>
              <w:marRight w:val="0"/>
              <w:marTop w:val="0"/>
              <w:marBottom w:val="0"/>
              <w:divBdr>
                <w:top w:val="none" w:sz="0" w:space="0" w:color="auto"/>
                <w:left w:val="none" w:sz="0" w:space="0" w:color="auto"/>
                <w:bottom w:val="none" w:sz="0" w:space="0" w:color="auto"/>
                <w:right w:val="none" w:sz="0" w:space="0" w:color="auto"/>
              </w:divBdr>
            </w:div>
            <w:div w:id="1831560452">
              <w:marLeft w:val="0"/>
              <w:marRight w:val="0"/>
              <w:marTop w:val="0"/>
              <w:marBottom w:val="0"/>
              <w:divBdr>
                <w:top w:val="none" w:sz="0" w:space="0" w:color="auto"/>
                <w:left w:val="none" w:sz="0" w:space="0" w:color="auto"/>
                <w:bottom w:val="none" w:sz="0" w:space="0" w:color="auto"/>
                <w:right w:val="none" w:sz="0" w:space="0" w:color="auto"/>
              </w:divBdr>
            </w:div>
            <w:div w:id="20294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63735">
      <w:bodyDiv w:val="1"/>
      <w:marLeft w:val="0"/>
      <w:marRight w:val="0"/>
      <w:marTop w:val="0"/>
      <w:marBottom w:val="0"/>
      <w:divBdr>
        <w:top w:val="none" w:sz="0" w:space="0" w:color="auto"/>
        <w:left w:val="none" w:sz="0" w:space="0" w:color="auto"/>
        <w:bottom w:val="none" w:sz="0" w:space="0" w:color="auto"/>
        <w:right w:val="none" w:sz="0" w:space="0" w:color="auto"/>
      </w:divBdr>
      <w:divsChild>
        <w:div w:id="1584997124">
          <w:marLeft w:val="0"/>
          <w:marRight w:val="0"/>
          <w:marTop w:val="0"/>
          <w:marBottom w:val="0"/>
          <w:divBdr>
            <w:top w:val="none" w:sz="0" w:space="0" w:color="auto"/>
            <w:left w:val="none" w:sz="0" w:space="0" w:color="auto"/>
            <w:bottom w:val="none" w:sz="0" w:space="0" w:color="auto"/>
            <w:right w:val="none" w:sz="0" w:space="0" w:color="auto"/>
          </w:divBdr>
          <w:divsChild>
            <w:div w:id="161900419">
              <w:marLeft w:val="0"/>
              <w:marRight w:val="0"/>
              <w:marTop w:val="0"/>
              <w:marBottom w:val="0"/>
              <w:divBdr>
                <w:top w:val="none" w:sz="0" w:space="0" w:color="auto"/>
                <w:left w:val="none" w:sz="0" w:space="0" w:color="auto"/>
                <w:bottom w:val="none" w:sz="0" w:space="0" w:color="auto"/>
                <w:right w:val="none" w:sz="0" w:space="0" w:color="auto"/>
              </w:divBdr>
            </w:div>
            <w:div w:id="262225860">
              <w:marLeft w:val="0"/>
              <w:marRight w:val="0"/>
              <w:marTop w:val="0"/>
              <w:marBottom w:val="0"/>
              <w:divBdr>
                <w:top w:val="none" w:sz="0" w:space="0" w:color="auto"/>
                <w:left w:val="none" w:sz="0" w:space="0" w:color="auto"/>
                <w:bottom w:val="none" w:sz="0" w:space="0" w:color="auto"/>
                <w:right w:val="none" w:sz="0" w:space="0" w:color="auto"/>
              </w:divBdr>
            </w:div>
            <w:div w:id="546575305">
              <w:marLeft w:val="0"/>
              <w:marRight w:val="0"/>
              <w:marTop w:val="0"/>
              <w:marBottom w:val="0"/>
              <w:divBdr>
                <w:top w:val="none" w:sz="0" w:space="0" w:color="auto"/>
                <w:left w:val="none" w:sz="0" w:space="0" w:color="auto"/>
                <w:bottom w:val="none" w:sz="0" w:space="0" w:color="auto"/>
                <w:right w:val="none" w:sz="0" w:space="0" w:color="auto"/>
              </w:divBdr>
            </w:div>
            <w:div w:id="1052122968">
              <w:marLeft w:val="0"/>
              <w:marRight w:val="0"/>
              <w:marTop w:val="0"/>
              <w:marBottom w:val="0"/>
              <w:divBdr>
                <w:top w:val="none" w:sz="0" w:space="0" w:color="auto"/>
                <w:left w:val="none" w:sz="0" w:space="0" w:color="auto"/>
                <w:bottom w:val="none" w:sz="0" w:space="0" w:color="auto"/>
                <w:right w:val="none" w:sz="0" w:space="0" w:color="auto"/>
              </w:divBdr>
            </w:div>
            <w:div w:id="106078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6658">
      <w:bodyDiv w:val="1"/>
      <w:marLeft w:val="0"/>
      <w:marRight w:val="0"/>
      <w:marTop w:val="0"/>
      <w:marBottom w:val="0"/>
      <w:divBdr>
        <w:top w:val="none" w:sz="0" w:space="0" w:color="auto"/>
        <w:left w:val="none" w:sz="0" w:space="0" w:color="auto"/>
        <w:bottom w:val="none" w:sz="0" w:space="0" w:color="auto"/>
        <w:right w:val="none" w:sz="0" w:space="0" w:color="auto"/>
      </w:divBdr>
      <w:divsChild>
        <w:div w:id="1833521691">
          <w:marLeft w:val="0"/>
          <w:marRight w:val="0"/>
          <w:marTop w:val="0"/>
          <w:marBottom w:val="0"/>
          <w:divBdr>
            <w:top w:val="none" w:sz="0" w:space="0" w:color="auto"/>
            <w:left w:val="none" w:sz="0" w:space="0" w:color="auto"/>
            <w:bottom w:val="none" w:sz="0" w:space="0" w:color="auto"/>
            <w:right w:val="none" w:sz="0" w:space="0" w:color="auto"/>
          </w:divBdr>
          <w:divsChild>
            <w:div w:id="282855187">
              <w:marLeft w:val="0"/>
              <w:marRight w:val="0"/>
              <w:marTop w:val="0"/>
              <w:marBottom w:val="0"/>
              <w:divBdr>
                <w:top w:val="none" w:sz="0" w:space="0" w:color="auto"/>
                <w:left w:val="none" w:sz="0" w:space="0" w:color="auto"/>
                <w:bottom w:val="none" w:sz="0" w:space="0" w:color="auto"/>
                <w:right w:val="none" w:sz="0" w:space="0" w:color="auto"/>
              </w:divBdr>
            </w:div>
            <w:div w:id="314770937">
              <w:marLeft w:val="0"/>
              <w:marRight w:val="0"/>
              <w:marTop w:val="0"/>
              <w:marBottom w:val="0"/>
              <w:divBdr>
                <w:top w:val="none" w:sz="0" w:space="0" w:color="auto"/>
                <w:left w:val="none" w:sz="0" w:space="0" w:color="auto"/>
                <w:bottom w:val="none" w:sz="0" w:space="0" w:color="auto"/>
                <w:right w:val="none" w:sz="0" w:space="0" w:color="auto"/>
              </w:divBdr>
            </w:div>
            <w:div w:id="555895689">
              <w:marLeft w:val="0"/>
              <w:marRight w:val="0"/>
              <w:marTop w:val="0"/>
              <w:marBottom w:val="0"/>
              <w:divBdr>
                <w:top w:val="none" w:sz="0" w:space="0" w:color="auto"/>
                <w:left w:val="none" w:sz="0" w:space="0" w:color="auto"/>
                <w:bottom w:val="none" w:sz="0" w:space="0" w:color="auto"/>
                <w:right w:val="none" w:sz="0" w:space="0" w:color="auto"/>
              </w:divBdr>
            </w:div>
            <w:div w:id="579293302">
              <w:marLeft w:val="0"/>
              <w:marRight w:val="0"/>
              <w:marTop w:val="0"/>
              <w:marBottom w:val="0"/>
              <w:divBdr>
                <w:top w:val="none" w:sz="0" w:space="0" w:color="auto"/>
                <w:left w:val="none" w:sz="0" w:space="0" w:color="auto"/>
                <w:bottom w:val="none" w:sz="0" w:space="0" w:color="auto"/>
                <w:right w:val="none" w:sz="0" w:space="0" w:color="auto"/>
              </w:divBdr>
            </w:div>
            <w:div w:id="934632051">
              <w:marLeft w:val="0"/>
              <w:marRight w:val="0"/>
              <w:marTop w:val="0"/>
              <w:marBottom w:val="0"/>
              <w:divBdr>
                <w:top w:val="none" w:sz="0" w:space="0" w:color="auto"/>
                <w:left w:val="none" w:sz="0" w:space="0" w:color="auto"/>
                <w:bottom w:val="none" w:sz="0" w:space="0" w:color="auto"/>
                <w:right w:val="none" w:sz="0" w:space="0" w:color="auto"/>
              </w:divBdr>
            </w:div>
            <w:div w:id="1230992999">
              <w:marLeft w:val="0"/>
              <w:marRight w:val="0"/>
              <w:marTop w:val="0"/>
              <w:marBottom w:val="0"/>
              <w:divBdr>
                <w:top w:val="none" w:sz="0" w:space="0" w:color="auto"/>
                <w:left w:val="none" w:sz="0" w:space="0" w:color="auto"/>
                <w:bottom w:val="none" w:sz="0" w:space="0" w:color="auto"/>
                <w:right w:val="none" w:sz="0" w:space="0" w:color="auto"/>
              </w:divBdr>
            </w:div>
            <w:div w:id="1399356955">
              <w:marLeft w:val="0"/>
              <w:marRight w:val="0"/>
              <w:marTop w:val="0"/>
              <w:marBottom w:val="0"/>
              <w:divBdr>
                <w:top w:val="none" w:sz="0" w:space="0" w:color="auto"/>
                <w:left w:val="none" w:sz="0" w:space="0" w:color="auto"/>
                <w:bottom w:val="none" w:sz="0" w:space="0" w:color="auto"/>
                <w:right w:val="none" w:sz="0" w:space="0" w:color="auto"/>
              </w:divBdr>
            </w:div>
            <w:div w:id="1429041953">
              <w:marLeft w:val="0"/>
              <w:marRight w:val="0"/>
              <w:marTop w:val="0"/>
              <w:marBottom w:val="0"/>
              <w:divBdr>
                <w:top w:val="none" w:sz="0" w:space="0" w:color="auto"/>
                <w:left w:val="none" w:sz="0" w:space="0" w:color="auto"/>
                <w:bottom w:val="none" w:sz="0" w:space="0" w:color="auto"/>
                <w:right w:val="none" w:sz="0" w:space="0" w:color="auto"/>
              </w:divBdr>
            </w:div>
            <w:div w:id="1544755909">
              <w:marLeft w:val="0"/>
              <w:marRight w:val="0"/>
              <w:marTop w:val="0"/>
              <w:marBottom w:val="0"/>
              <w:divBdr>
                <w:top w:val="none" w:sz="0" w:space="0" w:color="auto"/>
                <w:left w:val="none" w:sz="0" w:space="0" w:color="auto"/>
                <w:bottom w:val="none" w:sz="0" w:space="0" w:color="auto"/>
                <w:right w:val="none" w:sz="0" w:space="0" w:color="auto"/>
              </w:divBdr>
            </w:div>
            <w:div w:id="15989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T.PAUL-HOME\AppData\Roaming\Microsoft\Templates\COMRU%20SO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COMRU SOP template.dotx</Template>
  <TotalTime>1</TotalTime>
  <Pages>6</Pages>
  <Words>728</Words>
  <Characters>4337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1</vt:lpstr>
    </vt:vector>
  </TitlesOfParts>
  <Company>Wellcome Trust Unit- Thailand</Company>
  <LinksUpToDate>false</LinksUpToDate>
  <CharactersWithSpaces>5055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Paul Turner</dc:creator>
  <cp:lastModifiedBy>Samuel Franzen</cp:lastModifiedBy>
  <cp:revision>2</cp:revision>
  <cp:lastPrinted>2013-06-19T04:01:00Z</cp:lastPrinted>
  <dcterms:created xsi:type="dcterms:W3CDTF">2014-03-27T16:03:00Z</dcterms:created>
  <dcterms:modified xsi:type="dcterms:W3CDTF">2014-03-27T16:03:00Z</dcterms:modified>
</cp:coreProperties>
</file>